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D37178" w:rsidRDefault="006E237D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="009A2D2F"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поставку</w:t>
      </w:r>
      <w:r w:rsidRPr="006E237D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клапанов и вибровставок  для нужд ПАО «МОЭК»</w:t>
      </w:r>
    </w:p>
    <w:p w:rsidR="00D37178" w:rsidRPr="00D026B3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6E237D" w:rsidRPr="006E237D">
        <w:rPr>
          <w:rFonts w:ascii="Times New Roman" w:eastAsia="Times New Roman" w:hAnsi="Times New Roman" w:cs="Times New Roman"/>
          <w:b/>
          <w:sz w:val="28"/>
          <w:szCs w:val="28"/>
        </w:rPr>
        <w:t>110</w:t>
      </w:r>
      <w:r w:rsidR="006E237D">
        <w:rPr>
          <w:rFonts w:ascii="Times New Roman" w:eastAsia="Times New Roman" w:hAnsi="Times New Roman" w:cs="Times New Roman"/>
          <w:b/>
          <w:sz w:val="28"/>
          <w:szCs w:val="28"/>
        </w:rPr>
        <w:t>73</w:t>
      </w:r>
      <w:r w:rsidR="00D026B3" w:rsidRPr="006E237D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D026B3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51181518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178" w:rsidRPr="00D37178" w:rsidRDefault="00A47A59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6B3">
        <w:rPr>
          <w:bCs/>
          <w:i/>
        </w:rPr>
        <w:t xml:space="preserve">* Опыт поставки товаров, аналогичных предмету запроса предложений – </w:t>
      </w:r>
      <w:r w:rsidR="006E237D" w:rsidRPr="00002663">
        <w:rPr>
          <w:bCs/>
          <w:i/>
        </w:rPr>
        <w:t xml:space="preserve">поставка  </w:t>
      </w:r>
      <w:r w:rsidR="006E237D">
        <w:rPr>
          <w:bCs/>
          <w:i/>
        </w:rPr>
        <w:t>клапанов и/или вибровставок и/или трубок импульсных и/или затворов и/или компенсаторов.</w:t>
      </w:r>
      <w:bookmarkStart w:id="0" w:name="_GoBack"/>
      <w:bookmarkEnd w:id="0"/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51181519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37D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6E237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11073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37D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026B3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EA6B7-07E0-4A2E-A552-64D26A67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Лазарева Юлия Вячеславовна</cp:lastModifiedBy>
  <cp:revision>18</cp:revision>
  <cp:lastPrinted>2016-04-11T07:45:00Z</cp:lastPrinted>
  <dcterms:created xsi:type="dcterms:W3CDTF">2016-08-12T11:38:00Z</dcterms:created>
  <dcterms:modified xsi:type="dcterms:W3CDTF">2017-03-16T11:58:00Z</dcterms:modified>
</cp:coreProperties>
</file>