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ЗАПРОСЕ ПРЕДЛОЖЕНИЙ </w:t>
      </w:r>
    </w:p>
    <w:p w:rsidR="00B65B24" w:rsidRPr="00B53C9B" w:rsidRDefault="00B434A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0240ED">
        <w:rPr>
          <w:rFonts w:ascii="Times New Roman" w:eastAsia="Times New Roman" w:hAnsi="Times New Roman" w:cs="Times New Roman"/>
          <w:b/>
          <w:sz w:val="28"/>
          <w:szCs w:val="28"/>
        </w:rPr>
        <w:t>поставку</w:t>
      </w:r>
      <w:r w:rsidR="000240ED" w:rsidRPr="000240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4DB7">
        <w:rPr>
          <w:rFonts w:ascii="Times New Roman" w:eastAsia="Times New Roman" w:hAnsi="Times New Roman" w:cs="Times New Roman"/>
          <w:b/>
          <w:sz w:val="28"/>
          <w:szCs w:val="28"/>
        </w:rPr>
        <w:t xml:space="preserve">хомутов ремонтных </w:t>
      </w:r>
      <w:r w:rsidR="000240ED" w:rsidRPr="000240ED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«МОЭК»</w:t>
      </w:r>
    </w:p>
    <w:p w:rsid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214DB7">
        <w:rPr>
          <w:rFonts w:ascii="Times New Roman" w:eastAsia="Times New Roman" w:hAnsi="Times New Roman" w:cs="Times New Roman"/>
          <w:b/>
          <w:sz w:val="28"/>
          <w:szCs w:val="28"/>
        </w:rPr>
        <w:t>11112</w:t>
      </w:r>
      <w:r w:rsidR="004B117F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013C36" w:rsidRPr="00D37178" w:rsidRDefault="00013C36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9" o:title=""/>
                </v:shape>
                <o:OLEObject Type="Embed" ProgID="Equation.3" ShapeID="_x0000_i1025" DrawAspect="Content" ObjectID="_1548684743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13C36" w:rsidRPr="00E3219B" w:rsidRDefault="00013C36" w:rsidP="00285E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013C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13C3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13C36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13C36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D844D9" w:rsidRDefault="00D844D9" w:rsidP="00AC31E7">
      <w:pPr>
        <w:spacing w:after="0" w:line="240" w:lineRule="auto"/>
        <w:rPr>
          <w:rFonts w:ascii="Times New Roman" w:hAnsi="Times New Roman" w:cs="Times New Roman"/>
          <w:bCs/>
          <w:i/>
        </w:rPr>
      </w:pPr>
    </w:p>
    <w:p w:rsidR="003F7C71" w:rsidRPr="00AC31E7" w:rsidRDefault="00A47A59" w:rsidP="00AC31E7">
      <w:pPr>
        <w:spacing w:after="0" w:line="240" w:lineRule="auto"/>
        <w:rPr>
          <w:rFonts w:ascii="Times New Roman" w:eastAsia="Times New Roman" w:hAnsi="Times New Roman" w:cs="Times New Roman"/>
        </w:rPr>
        <w:sectPr w:rsidR="003F7C71" w:rsidRPr="00AC31E7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AC31E7">
        <w:rPr>
          <w:rFonts w:ascii="Times New Roman" w:hAnsi="Times New Roman" w:cs="Times New Roman"/>
          <w:bCs/>
          <w:i/>
        </w:rPr>
        <w:t xml:space="preserve">* </w:t>
      </w:r>
      <w:r w:rsidR="00184083" w:rsidRPr="00AC31E7">
        <w:rPr>
          <w:rFonts w:ascii="Times New Roman" w:hAnsi="Times New Roman" w:cs="Times New Roman"/>
          <w:bCs/>
          <w:i/>
        </w:rPr>
        <w:t xml:space="preserve">Опыт поставки товаров, аналогичных предмету запроса предложений – </w:t>
      </w:r>
      <w:r w:rsidR="00C013A2">
        <w:rPr>
          <w:bCs/>
          <w:i/>
        </w:rPr>
        <w:t>поставка хомутов и/или муфт и/или иной вспомогательной трубопроводной арматуры</w:t>
      </w:r>
      <w:bookmarkStart w:id="0" w:name="_GoBack"/>
      <w:bookmarkEnd w:id="0"/>
      <w:r w:rsidR="00AC31E7" w:rsidRPr="00AC31E7">
        <w:rPr>
          <w:rFonts w:ascii="Times New Roman" w:hAnsi="Times New Roman" w:cs="Times New Roman"/>
          <w:bCs/>
          <w:i/>
        </w:rPr>
        <w:t>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1" o:title=""/>
                </v:shape>
                <o:OLEObject Type="Embed" ProgID="Equation.3" ShapeID="_x0000_i1026" DrawAspect="Content" ObjectID="_1548684744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A4F" w:rsidRDefault="00FD2A4F" w:rsidP="00F20455">
      <w:pPr>
        <w:spacing w:after="0" w:line="240" w:lineRule="auto"/>
      </w:pPr>
      <w:r>
        <w:separator/>
      </w:r>
    </w:p>
  </w:endnote>
  <w:endnote w:type="continuationSeparator" w:id="0">
    <w:p w:rsidR="00FD2A4F" w:rsidRDefault="00FD2A4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3A2">
          <w:rPr>
            <w:noProof/>
          </w:rPr>
          <w:t>5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A4F" w:rsidRDefault="00FD2A4F" w:rsidP="00F20455">
      <w:pPr>
        <w:spacing w:after="0" w:line="240" w:lineRule="auto"/>
      </w:pPr>
      <w:r>
        <w:separator/>
      </w:r>
    </w:p>
  </w:footnote>
  <w:footnote w:type="continuationSeparator" w:id="0">
    <w:p w:rsidR="00FD2A4F" w:rsidRDefault="00FD2A4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896" w:rsidRPr="000240ED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214DB7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11112</w:t>
    </w:r>
    <w:r w:rsidR="000240E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 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13C36"/>
    <w:rsid w:val="0002272B"/>
    <w:rsid w:val="000240ED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4DB7"/>
    <w:rsid w:val="00216470"/>
    <w:rsid w:val="002211C2"/>
    <w:rsid w:val="00224936"/>
    <w:rsid w:val="002359CE"/>
    <w:rsid w:val="00243D06"/>
    <w:rsid w:val="00250757"/>
    <w:rsid w:val="00251C36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B117F"/>
    <w:rsid w:val="004F1098"/>
    <w:rsid w:val="00502686"/>
    <w:rsid w:val="0050709A"/>
    <w:rsid w:val="00507505"/>
    <w:rsid w:val="00514AAA"/>
    <w:rsid w:val="00524053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0FC1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C31E7"/>
    <w:rsid w:val="00B02A67"/>
    <w:rsid w:val="00B05931"/>
    <w:rsid w:val="00B13284"/>
    <w:rsid w:val="00B26C2A"/>
    <w:rsid w:val="00B4042F"/>
    <w:rsid w:val="00B434AD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13A2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844D9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D2A4F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B2EDC0-7AE3-412C-BB44-E3E995F4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AA6D-00C2-4F20-B486-EFAAEC2C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1398</Words>
  <Characters>7972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mrg</Company>
  <LinksUpToDate>false</LinksUpToDate>
  <CharactersWithSpaces>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Турков Александр Олегович</cp:lastModifiedBy>
  <cp:revision>7</cp:revision>
  <cp:lastPrinted>2016-04-11T07:45:00Z</cp:lastPrinted>
  <dcterms:created xsi:type="dcterms:W3CDTF">2017-02-12T17:32:00Z</dcterms:created>
  <dcterms:modified xsi:type="dcterms:W3CDTF">2017-02-15T14:26:00Z</dcterms:modified>
</cp:coreProperties>
</file>