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97" w:rsidRDefault="002E4297" w:rsidP="002E4297">
      <w:pPr>
        <w:jc w:val="center"/>
      </w:pPr>
      <w:bookmarkStart w:id="0" w:name="_GoBack"/>
      <w:bookmarkEnd w:id="0"/>
      <w:r>
        <w:t xml:space="preserve">                                                                                        </w:t>
      </w:r>
      <w:r w:rsidRPr="004143CA">
        <w:t xml:space="preserve">Приложение № </w:t>
      </w:r>
      <w:r>
        <w:t>1</w:t>
      </w:r>
    </w:p>
    <w:p w:rsidR="002E4297" w:rsidRPr="004143CA" w:rsidRDefault="002E4297" w:rsidP="002E4297">
      <w:pPr>
        <w:jc w:val="right"/>
      </w:pPr>
      <w:r>
        <w:t>к Договору № ___ от «___» _____</w:t>
      </w:r>
    </w:p>
    <w:p w:rsidR="002E4297" w:rsidRPr="004143CA" w:rsidRDefault="002E4297" w:rsidP="002E4297"/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5245"/>
        <w:gridCol w:w="5245"/>
      </w:tblGrid>
      <w:tr w:rsidR="002E4297" w:rsidRPr="004143CA" w:rsidTr="004738DC">
        <w:tc>
          <w:tcPr>
            <w:tcW w:w="5245" w:type="dxa"/>
            <w:shd w:val="clear" w:color="auto" w:fill="auto"/>
          </w:tcPr>
          <w:p w:rsidR="002E4297" w:rsidRPr="004143CA" w:rsidRDefault="002E4297" w:rsidP="004738DC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Согласовано:</w:t>
            </w:r>
          </w:p>
          <w:p w:rsidR="002E4297" w:rsidRPr="004143CA" w:rsidRDefault="002E4297" w:rsidP="004738DC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2E4297" w:rsidRDefault="002E4297" w:rsidP="004738DC">
            <w:pPr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Подрядчик</w:t>
            </w:r>
          </w:p>
          <w:p w:rsidR="002E4297" w:rsidRPr="004143CA" w:rsidRDefault="002E4297" w:rsidP="004738DC">
            <w:pPr>
              <w:rPr>
                <w:rFonts w:eastAsia="Times New Roman"/>
                <w:bCs/>
                <w:lang w:eastAsia="ru-RU"/>
              </w:rPr>
            </w:pPr>
          </w:p>
          <w:p w:rsidR="002E4297" w:rsidRPr="004143CA" w:rsidRDefault="002E4297" w:rsidP="004738DC">
            <w:pPr>
              <w:rPr>
                <w:rFonts w:eastAsia="Times New Roman"/>
                <w:bCs/>
                <w:lang w:eastAsia="ru-RU"/>
              </w:rPr>
            </w:pPr>
          </w:p>
          <w:p w:rsidR="002E4297" w:rsidRPr="004143CA" w:rsidRDefault="002E4297" w:rsidP="004738DC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</w:t>
            </w:r>
            <w:r>
              <w:rPr>
                <w:rFonts w:eastAsia="Times New Roman"/>
                <w:bCs/>
                <w:lang w:eastAsia="ru-RU"/>
              </w:rPr>
              <w:t>_____</w:t>
            </w:r>
            <w:r w:rsidRPr="004143CA">
              <w:rPr>
                <w:rFonts w:eastAsia="Times New Roman"/>
                <w:bCs/>
                <w:lang w:eastAsia="ru-RU"/>
              </w:rPr>
              <w:t>_ /_______</w:t>
            </w:r>
            <w:r>
              <w:rPr>
                <w:rFonts w:eastAsia="Times New Roman"/>
                <w:bCs/>
                <w:lang w:eastAsia="ru-RU"/>
              </w:rPr>
              <w:t>_______</w:t>
            </w:r>
            <w:r w:rsidRPr="004143CA">
              <w:rPr>
                <w:rFonts w:eastAsia="Times New Roman"/>
                <w:bCs/>
                <w:lang w:eastAsia="ru-RU"/>
              </w:rPr>
              <w:t>_______/</w:t>
            </w:r>
          </w:p>
          <w:p w:rsidR="002E4297" w:rsidRPr="004143CA" w:rsidRDefault="002E4297" w:rsidP="004738DC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м.п.</w:t>
            </w:r>
          </w:p>
        </w:tc>
        <w:tc>
          <w:tcPr>
            <w:tcW w:w="5245" w:type="dxa"/>
            <w:shd w:val="clear" w:color="auto" w:fill="auto"/>
          </w:tcPr>
          <w:p w:rsidR="002E4297" w:rsidRPr="004143CA" w:rsidRDefault="002E4297" w:rsidP="004738DC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Утверждаю:</w:t>
            </w:r>
          </w:p>
          <w:p w:rsidR="002E4297" w:rsidRPr="004143CA" w:rsidRDefault="002E4297" w:rsidP="004738DC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2E4297" w:rsidRPr="004143CA" w:rsidRDefault="002E4297" w:rsidP="004738DC">
            <w:pPr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Заказчик </w:t>
            </w:r>
          </w:p>
          <w:p w:rsidR="002E4297" w:rsidRDefault="002E4297" w:rsidP="004738DC">
            <w:pPr>
              <w:rPr>
                <w:rFonts w:eastAsia="Times New Roman"/>
                <w:bCs/>
                <w:lang w:eastAsia="ru-RU"/>
              </w:rPr>
            </w:pPr>
          </w:p>
          <w:p w:rsidR="002E4297" w:rsidRPr="004143CA" w:rsidRDefault="002E4297" w:rsidP="004738DC">
            <w:pPr>
              <w:rPr>
                <w:rFonts w:eastAsia="Times New Roman"/>
                <w:bCs/>
                <w:lang w:eastAsia="ru-RU"/>
              </w:rPr>
            </w:pPr>
          </w:p>
          <w:p w:rsidR="002E4297" w:rsidRPr="004143CA" w:rsidRDefault="002E4297" w:rsidP="004738DC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__________________ /_____________________/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4143CA">
              <w:rPr>
                <w:rFonts w:eastAsia="Times New Roman"/>
                <w:bCs/>
                <w:lang w:eastAsia="ru-RU"/>
              </w:rPr>
              <w:t>м.п.</w:t>
            </w:r>
          </w:p>
        </w:tc>
      </w:tr>
    </w:tbl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1C4249" w:rsidRPr="001C4249" w:rsidRDefault="00B805FB" w:rsidP="001C4249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4143CA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>: 09-01-0313/0</w:t>
      </w:r>
      <w:r w:rsidR="00E92A1A">
        <w:rPr>
          <w:rFonts w:eastAsia="Times New Roman"/>
          <w:b/>
          <w:bCs/>
          <w:sz w:val="28"/>
          <w:szCs w:val="28"/>
          <w:lang w:eastAsia="ru-RU"/>
        </w:rPr>
        <w:t>99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 xml:space="preserve">, ул. </w:t>
      </w:r>
      <w:r w:rsidR="002F3EAD">
        <w:rPr>
          <w:rFonts w:eastAsia="Times New Roman"/>
          <w:b/>
          <w:bCs/>
          <w:sz w:val="28"/>
          <w:szCs w:val="28"/>
          <w:lang w:eastAsia="ru-RU"/>
        </w:rPr>
        <w:t xml:space="preserve">Мневники  дом </w:t>
      </w:r>
      <w:r w:rsidR="00E92A1A">
        <w:rPr>
          <w:rFonts w:eastAsia="Times New Roman"/>
          <w:b/>
          <w:bCs/>
          <w:sz w:val="28"/>
          <w:szCs w:val="28"/>
          <w:lang w:eastAsia="ru-RU"/>
        </w:rPr>
        <w:t>4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CF21F7" w:rsidRPr="004143CA" w:rsidRDefault="00CF21F7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53"/>
      </w:tblGrid>
      <w:tr w:rsidR="004143CA" w:rsidRPr="004143CA" w:rsidTr="005F5964">
        <w:tc>
          <w:tcPr>
            <w:tcW w:w="5353" w:type="dxa"/>
          </w:tcPr>
          <w:p w:rsidR="00D87827" w:rsidRPr="004143CA" w:rsidRDefault="00D87827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>Главный инженер</w:t>
            </w:r>
          </w:p>
          <w:p w:rsidR="00182041" w:rsidRPr="004143CA" w:rsidRDefault="00054DE0" w:rsidP="00182041">
            <w:r w:rsidRPr="004143CA">
              <w:t>Филиала № ___ П</w:t>
            </w:r>
            <w:r w:rsidR="00182041" w:rsidRPr="004143CA">
              <w:t>АО «МОЭК»</w:t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 xml:space="preserve">_________________ _________________ </w:t>
            </w:r>
          </w:p>
          <w:p w:rsidR="00182041" w:rsidRPr="004143CA" w:rsidRDefault="00182041" w:rsidP="00182041"/>
          <w:p w:rsidR="005F5964" w:rsidRPr="004143CA" w:rsidRDefault="002F3EAD" w:rsidP="00182041">
            <w:r>
              <w:t>«____»___________2016</w:t>
            </w:r>
            <w:r w:rsidR="00182041" w:rsidRPr="004143CA">
              <w:t>г.</w:t>
            </w:r>
          </w:p>
          <w:p w:rsidR="00182041" w:rsidRPr="004143CA" w:rsidRDefault="00182041" w:rsidP="00182041"/>
        </w:tc>
      </w:tr>
      <w:tr w:rsidR="004143CA" w:rsidRPr="004143CA" w:rsidTr="005F5964">
        <w:tc>
          <w:tcPr>
            <w:tcW w:w="5353" w:type="dxa"/>
          </w:tcPr>
          <w:p w:rsidR="005F5964" w:rsidRPr="004143CA" w:rsidRDefault="005F5964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 xml:space="preserve">Заместитель главного инженера по инвестиционной и ремонтной деятельности Филиала </w:t>
            </w:r>
            <w:r w:rsidR="00054DE0" w:rsidRPr="004143CA">
              <w:t>№___ П</w:t>
            </w:r>
            <w:r w:rsidRPr="004143CA">
              <w:t>АО «МОЭК»</w:t>
            </w:r>
            <w:r w:rsidRPr="004143CA">
              <w:tab/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>_________________ _________________</w:t>
            </w:r>
          </w:p>
          <w:p w:rsidR="00182041" w:rsidRPr="004143CA" w:rsidRDefault="00182041" w:rsidP="00182041"/>
          <w:p w:rsidR="005F5964" w:rsidRPr="004143CA" w:rsidRDefault="002F3EAD">
            <w:r>
              <w:t>«____»___________2016</w:t>
            </w:r>
            <w:r w:rsidR="00182041" w:rsidRPr="004143CA">
              <w:t>г.</w:t>
            </w:r>
          </w:p>
        </w:tc>
      </w:tr>
      <w:tr w:rsidR="005F5964" w:rsidRPr="004143CA" w:rsidTr="005F5964">
        <w:tc>
          <w:tcPr>
            <w:tcW w:w="5353" w:type="dxa"/>
          </w:tcPr>
          <w:p w:rsidR="005101B8" w:rsidRPr="004143CA" w:rsidRDefault="005101B8"/>
          <w:p w:rsidR="00182041" w:rsidRPr="004143CA" w:rsidRDefault="00182041"/>
          <w:p w:rsidR="00182041" w:rsidRPr="004143CA" w:rsidRDefault="00182041"/>
          <w:p w:rsidR="00182041" w:rsidRPr="004143CA" w:rsidRDefault="00182041"/>
          <w:p w:rsidR="00182041" w:rsidRPr="004143CA" w:rsidRDefault="00182041"/>
        </w:tc>
        <w:tc>
          <w:tcPr>
            <w:tcW w:w="5353" w:type="dxa"/>
          </w:tcPr>
          <w:p w:rsidR="005F5964" w:rsidRPr="004143CA" w:rsidRDefault="005F5964"/>
        </w:tc>
      </w:tr>
    </w:tbl>
    <w:p w:rsidR="00182041" w:rsidRDefault="00182041"/>
    <w:p w:rsidR="002F3EAD" w:rsidRDefault="002F3EAD"/>
    <w:p w:rsidR="002F3EAD" w:rsidRDefault="002F3EAD"/>
    <w:p w:rsidR="002F3EAD" w:rsidRPr="004143CA" w:rsidRDefault="002F3EAD"/>
    <w:p w:rsidR="00D87827" w:rsidRDefault="00D87827"/>
    <w:p w:rsidR="002E4297" w:rsidRDefault="002E4297"/>
    <w:p w:rsidR="002E4297" w:rsidRPr="004143CA" w:rsidRDefault="002E4297"/>
    <w:p w:rsidR="00D87827" w:rsidRPr="004143CA" w:rsidRDefault="00D87827"/>
    <w:p w:rsidR="00D87827" w:rsidRPr="004143CA" w:rsidRDefault="00D87827"/>
    <w:tbl>
      <w:tblPr>
        <w:tblW w:w="14568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  <w:gridCol w:w="2039"/>
        <w:gridCol w:w="2039"/>
      </w:tblGrid>
      <w:tr w:rsidR="004143CA" w:rsidRPr="004143CA" w:rsidTr="002E4297">
        <w:trPr>
          <w:gridAfter w:val="2"/>
          <w:wAfter w:w="4078" w:type="dxa"/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E85E30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2E4297">
        <w:trPr>
          <w:gridAfter w:val="2"/>
          <w:wAfter w:w="4078" w:type="dxa"/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2E429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B46E3E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B46E3E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1C4249" w:rsidP="002F3EAD">
            <w:r>
              <w:t>1</w:t>
            </w:r>
            <w:r w:rsidR="0065592F" w:rsidRPr="004143CA">
              <w:t xml:space="preserve">. </w:t>
            </w:r>
            <w:r w:rsidR="00E85E30" w:rsidRPr="004143CA">
              <w:t>Перекладка</w:t>
            </w:r>
            <w:r w:rsidR="00C9625B" w:rsidRPr="004143CA">
              <w:t xml:space="preserve"> </w:t>
            </w:r>
            <w:r w:rsidR="002F3EAD">
              <w:t>теплового ввода</w:t>
            </w:r>
          </w:p>
        </w:tc>
      </w:tr>
      <w:tr w:rsidR="004143CA" w:rsidRPr="004143CA" w:rsidTr="002E429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920819">
            <w:r w:rsidRPr="00920819">
              <w:t>№</w:t>
            </w:r>
            <w:r w:rsidR="00920819">
              <w:t>09-002438</w:t>
            </w:r>
          </w:p>
        </w:tc>
      </w:tr>
      <w:tr w:rsidR="004143CA" w:rsidRPr="004143CA" w:rsidTr="002E429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A730EE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2E429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2D7063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660F2D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1C4249" w:rsidRDefault="00660F2D" w:rsidP="001C4249">
            <w:r w:rsidRPr="004143CA">
              <w:t xml:space="preserve">Номер инвестиционного проекта </w:t>
            </w:r>
            <w:r w:rsidR="00116FEC" w:rsidRPr="004143CA">
              <w:t>(СПП)</w:t>
            </w:r>
          </w:p>
          <w:p w:rsidR="00660F2D" w:rsidRPr="004143CA" w:rsidRDefault="00116FEC" w:rsidP="002F3EAD">
            <w:r w:rsidRPr="004143CA">
              <w:t xml:space="preserve"> </w:t>
            </w:r>
            <w:r w:rsidR="00660F2D" w:rsidRPr="004143CA">
              <w:t>№</w:t>
            </w:r>
            <w:r w:rsidR="00FC6C37">
              <w:t xml:space="preserve"> М-20-1ВО-09-01-000048</w:t>
            </w:r>
          </w:p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A3AE3"/>
          <w:p w:rsidR="00660F2D" w:rsidRPr="004143CA" w:rsidRDefault="00660F2D" w:rsidP="001A3AE3"/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FC6C37">
            <w:r w:rsidRPr="004143CA">
              <w:t xml:space="preserve">г. Москва, </w:t>
            </w:r>
            <w:r w:rsidR="002F3EAD">
              <w:t xml:space="preserve">ул. Мневники д. </w:t>
            </w:r>
            <w:r w:rsidR="00FC6C37">
              <w:t>4</w:t>
            </w:r>
          </w:p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pPr>
              <w:rPr>
                <w:i/>
              </w:rPr>
            </w:pPr>
            <w:r>
              <w:t>СЗАО</w:t>
            </w:r>
          </w:p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r>
              <w:t>«Хорошево-Мневники»</w:t>
            </w:r>
          </w:p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E009B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28AA" w:rsidRPr="004143CA" w:rsidRDefault="00B60298" w:rsidP="00B46E3E">
            <w:pPr>
              <w:rPr>
                <w:i/>
              </w:rPr>
            </w:pPr>
            <w:r w:rsidRPr="004143CA">
              <w:rPr>
                <w:i/>
              </w:rPr>
              <w:t>Указывается</w:t>
            </w:r>
            <w:r w:rsidR="00AE009B" w:rsidRPr="004143CA">
              <w:rPr>
                <w:i/>
              </w:rPr>
              <w:t xml:space="preserve"> для теплового ввода или разводящей сети</w:t>
            </w:r>
            <w:r w:rsidR="00DD28AA" w:rsidRPr="004143CA">
              <w:rPr>
                <w:i/>
              </w:rPr>
              <w:t>:</w:t>
            </w:r>
          </w:p>
          <w:p w:rsidR="00660F2D" w:rsidRPr="004143CA" w:rsidRDefault="00670190" w:rsidP="00FC6C37">
            <w:r>
              <w:t>№ 09-01-0313/0</w:t>
            </w:r>
            <w:r w:rsidR="00FC6C37">
              <w:t>99</w:t>
            </w:r>
          </w:p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0E5630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0E5630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0E5630"/>
        </w:tc>
      </w:tr>
      <w:tr w:rsidR="004143CA" w:rsidRPr="004143CA" w:rsidTr="002E429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EE368A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285F89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2E4297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B46E3E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C194C" w:rsidRDefault="008C194C" w:rsidP="008C194C">
            <w:pPr>
              <w:jc w:val="both"/>
            </w:pPr>
            <w:r>
              <w:t>Двухстадийное проектирование</w:t>
            </w:r>
          </w:p>
          <w:p w:rsidR="008C194C" w:rsidRDefault="008C194C" w:rsidP="008C194C">
            <w:pPr>
              <w:jc w:val="both"/>
            </w:pPr>
            <w:r>
              <w:t>Рабочий проект (РП)</w:t>
            </w:r>
          </w:p>
          <w:p w:rsidR="008C194C" w:rsidRDefault="008C194C" w:rsidP="008C194C">
            <w:pPr>
              <w:jc w:val="both"/>
            </w:pPr>
            <w:r>
              <w:t>- Утверждаемая ( РП)</w:t>
            </w:r>
          </w:p>
          <w:p w:rsidR="00660F2D" w:rsidRPr="004143CA" w:rsidRDefault="008C194C" w:rsidP="008C194C">
            <w:r>
              <w:t>- Рабочая документация (РД)</w:t>
            </w:r>
          </w:p>
        </w:tc>
      </w:tr>
      <w:tr w:rsidR="004143CA" w:rsidRPr="004143CA" w:rsidTr="002E4297">
        <w:trPr>
          <w:gridAfter w:val="2"/>
          <w:wAfter w:w="4078" w:type="dxa"/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2E4297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2B71BD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793844">
            <w:r w:rsidRPr="004143CA">
              <w:t>1. Заказчик предоставляет до начала проектирования:</w:t>
            </w:r>
          </w:p>
          <w:p w:rsidR="00660F2D" w:rsidRPr="004143CA" w:rsidRDefault="00660F2D" w:rsidP="00793844">
            <w:r w:rsidRPr="004143CA">
              <w:t xml:space="preserve">- Исполнительная документация на тепловые сети и строительные </w:t>
            </w:r>
            <w:r w:rsidRPr="001C4249">
              <w:t>конструкции</w:t>
            </w:r>
            <w:r w:rsidR="00730CA2" w:rsidRPr="001C4249">
              <w:t xml:space="preserve"> </w:t>
            </w:r>
            <w:r w:rsidR="00730CA2" w:rsidRPr="001C4249">
              <w:rPr>
                <w:i/>
              </w:rPr>
              <w:t>(при наличии</w:t>
            </w:r>
            <w:r w:rsidR="00730CA2" w:rsidRPr="004143CA">
              <w:rPr>
                <w:i/>
              </w:rPr>
              <w:t>)</w:t>
            </w:r>
          </w:p>
          <w:p w:rsidR="00660F2D" w:rsidRPr="004143CA" w:rsidRDefault="00660F2D" w:rsidP="00793844">
            <w:r w:rsidRPr="004143CA">
              <w:t>- Ситуационный план тепловых сетей 1 : 2000</w:t>
            </w:r>
            <w:r w:rsidR="00E50DE1" w:rsidRPr="004143CA">
              <w:t xml:space="preserve">, </w:t>
            </w:r>
            <w:r w:rsidR="0006653C">
              <w:t>копию</w:t>
            </w:r>
            <w:r w:rsidRPr="004143CA">
              <w:t xml:space="preserve"> Кадастрового </w:t>
            </w:r>
            <w:r w:rsidRPr="001C4249">
              <w:t>паспорта</w:t>
            </w:r>
            <w:r w:rsidR="0006653C" w:rsidRPr="001C4249">
              <w:t xml:space="preserve"> или</w:t>
            </w:r>
            <w:r w:rsidR="0006653C">
              <w:t xml:space="preserve"> копию</w:t>
            </w:r>
            <w:r w:rsidR="00E50DE1" w:rsidRPr="004143CA">
              <w:t xml:space="preserve"> Плана подземных инженерных коммуникаций </w:t>
            </w:r>
            <w:r w:rsidR="00E50DE1" w:rsidRPr="004143CA">
              <w:rPr>
                <w:i/>
              </w:rPr>
              <w:t>(при наличии)</w:t>
            </w:r>
          </w:p>
          <w:p w:rsidR="00660F2D" w:rsidRPr="004143CA" w:rsidRDefault="00660F2D" w:rsidP="00793844">
            <w:r w:rsidRPr="004143CA">
              <w:t>- Свидетельство на право собственности</w:t>
            </w:r>
          </w:p>
          <w:p w:rsidR="00660F2D" w:rsidRPr="004143CA" w:rsidRDefault="00660F2D" w:rsidP="00B46E3E">
            <w:r w:rsidRPr="004143CA">
              <w:t xml:space="preserve">- Ведомости нагрузок </w:t>
            </w:r>
            <w:r w:rsidRPr="004143CA">
              <w:rPr>
                <w:i/>
              </w:rPr>
              <w:t>аб. №</w:t>
            </w:r>
            <w:r w:rsidR="00670190">
              <w:t>09-01-0313/0</w:t>
            </w:r>
            <w:r w:rsidR="00FC6C37">
              <w:t xml:space="preserve">99 </w:t>
            </w:r>
            <w:r w:rsidRPr="004143CA">
              <w:t xml:space="preserve">Филиала №11 «Горэнергосбыт»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B46E3E">
            <w:r w:rsidRPr="004143CA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>, в т.ч:</w:t>
            </w:r>
          </w:p>
          <w:p w:rsidR="00B350D1" w:rsidRPr="004143CA" w:rsidRDefault="00B350D1" w:rsidP="00B46E3E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r w:rsidRPr="004143CA">
              <w:t>Мосводосток</w:t>
            </w:r>
            <w:r w:rsidR="00DA561A" w:rsidRPr="004143CA">
              <w:t>»</w:t>
            </w:r>
            <w:r w:rsidRPr="004143CA">
              <w:t xml:space="preserve"> на </w:t>
            </w:r>
            <w:r w:rsidRPr="004143CA">
              <w:lastRenderedPageBreak/>
              <w:t>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2E4297">
        <w:trPr>
          <w:gridAfter w:val="2"/>
          <w:wAfter w:w="4078" w:type="dxa"/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B805FB" w:rsidP="00E62AA1">
            <w:pPr>
              <w:jc w:val="center"/>
              <w:rPr>
                <w:i/>
              </w:rPr>
            </w:pPr>
            <w:r w:rsidRPr="004143CA">
              <w:rPr>
                <w:i/>
              </w:rPr>
              <w:t>(указано для примера, для конкретных объектов могут различаться)</w:t>
            </w:r>
          </w:p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C4249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Длина по каналу, 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F3EAD" w:rsidP="00FC6C37">
            <w:r>
              <w:t>Кам. К</w:t>
            </w:r>
            <w:r w:rsidR="00FC6C37">
              <w:t>1311/15 – кам. 1311/11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70190" w:rsidRPr="004143CA" w:rsidRDefault="00D675E6" w:rsidP="00FC6C37">
            <w:r>
              <w:t>2</w:t>
            </w:r>
            <w:r w:rsidR="002F3EAD">
              <w:t>Ду-</w:t>
            </w:r>
            <w:r w:rsidR="00FC6C37">
              <w:t>80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F3EAD" w:rsidP="00862540">
            <w:pPr>
              <w:jc w:val="center"/>
            </w:pPr>
            <w:r>
              <w:t>17</w:t>
            </w:r>
            <w:r w:rsidR="00FC6C37">
              <w:t>,8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jc w:val="center"/>
            </w:pPr>
            <w:r w:rsidRPr="004143CA">
              <w:t xml:space="preserve">  мин. вата</w:t>
            </w:r>
          </w:p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F1F19"/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A443C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07211" w:rsidP="00CE5157"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r w:rsidR="00660F2D" w:rsidRPr="004143CA">
              <w:t xml:space="preserve"> = 150-70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(130-70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срезка)</w:t>
            </w:r>
          </w:p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D675E6" w:rsidRDefault="00660F2D" w:rsidP="007A443C">
            <w:r w:rsidRPr="00D675E6">
              <w:t>Р</w:t>
            </w:r>
            <w:r w:rsidRPr="00D675E6">
              <w:rPr>
                <w:vertAlign w:val="subscript"/>
              </w:rPr>
              <w:t>1</w:t>
            </w:r>
            <w:r w:rsidR="00541963" w:rsidRPr="00D675E6">
              <w:t xml:space="preserve"> =</w:t>
            </w:r>
            <w:r w:rsidRPr="00D675E6">
              <w:t xml:space="preserve"> </w:t>
            </w:r>
            <w:r w:rsidR="00FC6C37">
              <w:t>9,</w:t>
            </w:r>
            <w:r w:rsidR="00D675E6" w:rsidRPr="00D675E6">
              <w:t>8</w:t>
            </w:r>
            <w:r w:rsidRPr="00D675E6">
              <w:t xml:space="preserve"> атм., Р</w:t>
            </w:r>
            <w:r w:rsidRPr="00D675E6">
              <w:rPr>
                <w:vertAlign w:val="subscript"/>
              </w:rPr>
              <w:t>2</w:t>
            </w:r>
            <w:r w:rsidR="00541963" w:rsidRPr="00D675E6">
              <w:t xml:space="preserve"> =</w:t>
            </w:r>
            <w:r w:rsidR="00D675E6" w:rsidRPr="00D675E6">
              <w:t xml:space="preserve"> 2</w:t>
            </w:r>
            <w:r w:rsidRPr="00D675E6">
              <w:t xml:space="preserve"> атм.</w:t>
            </w:r>
          </w:p>
          <w:p w:rsidR="00660F2D" w:rsidRPr="004143CA" w:rsidRDefault="00660F2D" w:rsidP="00862540">
            <w:pPr>
              <w:tabs>
                <w:tab w:val="left" w:pos="1770"/>
              </w:tabs>
            </w:pPr>
            <w:r w:rsidRPr="00D675E6">
              <w:t>Р</w:t>
            </w:r>
            <w:r w:rsidRPr="00D675E6">
              <w:rPr>
                <w:vertAlign w:val="subscript"/>
              </w:rPr>
              <w:t xml:space="preserve">исп  </w:t>
            </w:r>
            <w:r w:rsidR="00D675E6" w:rsidRPr="00D675E6">
              <w:t>= 24</w:t>
            </w:r>
            <w:r w:rsidRPr="00D675E6">
              <w:t xml:space="preserve"> атм.</w:t>
            </w:r>
            <w:r w:rsidR="00862540">
              <w:tab/>
            </w:r>
          </w:p>
        </w:tc>
      </w:tr>
      <w:tr w:rsidR="00AE589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06653C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06653C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781CEF" w:rsidRDefault="00D675E6" w:rsidP="0006653C">
            <w:r>
              <w:t>Тепловой ввод</w:t>
            </w:r>
          </w:p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47681F" w:rsidP="00862540">
            <w:r w:rsidRPr="004143CA">
              <w:t>Согласно</w:t>
            </w:r>
            <w:r w:rsidR="00660F2D" w:rsidRPr="004143CA">
              <w:t xml:space="preserve"> Ведомость нагрузок  абонента </w:t>
            </w:r>
            <w:r w:rsidR="00660F2D" w:rsidRPr="004143CA">
              <w:rPr>
                <w:i/>
              </w:rPr>
              <w:t xml:space="preserve">№ </w:t>
            </w:r>
            <w:r w:rsidR="00FC6C37">
              <w:t>09-01-0313/099</w:t>
            </w:r>
            <w:r w:rsidR="00660F2D" w:rsidRPr="004143CA">
              <w:t xml:space="preserve"> Филиала №11  «Горэнергосбыт» </w:t>
            </w:r>
            <w:r w:rsidR="00054DE0" w:rsidRPr="004143CA">
              <w:t>ПАО</w:t>
            </w:r>
            <w:r w:rsidR="00660F2D" w:rsidRPr="004143CA">
              <w:t xml:space="preserve"> «МОЭК».</w:t>
            </w:r>
            <w:r w:rsidRPr="004143CA">
              <w:t xml:space="preserve"> </w:t>
            </w:r>
          </w:p>
        </w:tc>
      </w:tr>
      <w:tr w:rsidR="004143CA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10281" w:rsidRPr="004143CA" w:rsidRDefault="00710281" w:rsidP="007A443C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Длина по каналу, 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 w:rsidR="00AE5896"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FC6C37" w:rsidP="00A86B4E">
            <w:r>
              <w:t>Кам. К1311/15 – кам. 1311/11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296949">
            <w:pPr>
              <w:jc w:val="center"/>
            </w:pPr>
            <w:r w:rsidRPr="00BA44DB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781CEF" w:rsidTr="002E4297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внутридворовыми проездами выполнить в каналах, в футлярах – по согласованию с Заказчиком. При необходимости (по геологическим условиям) – использовать ж.б. основание.</w:t>
            </w:r>
          </w:p>
        </w:tc>
        <w:tc>
          <w:tcPr>
            <w:tcW w:w="2039" w:type="dxa"/>
          </w:tcPr>
          <w:p w:rsidR="00D675E6" w:rsidRPr="00781CEF" w:rsidRDefault="00D675E6">
            <w:pPr>
              <w:jc w:val="both"/>
            </w:pPr>
          </w:p>
        </w:tc>
        <w:tc>
          <w:tcPr>
            <w:tcW w:w="2039" w:type="dxa"/>
            <w:vAlign w:val="center"/>
          </w:tcPr>
          <w:p w:rsidR="00D675E6" w:rsidRPr="004143CA" w:rsidRDefault="00D675E6" w:rsidP="00505187">
            <w:pPr>
              <w:jc w:val="center"/>
            </w:pP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A443C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8B4E55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4E55" w:rsidRPr="004143CA" w:rsidRDefault="008B4E55" w:rsidP="00B46E3E">
            <w:r>
              <w:t>3.5.2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B4E55" w:rsidRPr="004143CA" w:rsidRDefault="008B4E55" w:rsidP="00296949">
            <w:pPr>
              <w:jc w:val="center"/>
            </w:pPr>
            <w:r>
              <w:t>Кам. К1311/15 – кам. 1311/11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B4E55" w:rsidRDefault="008B4E55">
            <w:r w:rsidRPr="001F5513">
              <w:t>Требуется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B4E55" w:rsidRDefault="008B4E55">
            <w:r w:rsidRPr="001F5513">
              <w:t>Требуется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B4E55" w:rsidRDefault="008B4E55">
            <w:r w:rsidRPr="001F5513">
              <w:t>Требуется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r w:rsidRPr="004143CA">
              <w:rPr>
                <w:b/>
              </w:rPr>
              <w:t xml:space="preserve">Водовыпуск: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A1F81">
            <w:r w:rsidRPr="004143CA">
              <w:t>Предусмотреть самотечный водовыпуск сетевой воды и водоудаление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r w:rsidRPr="004143CA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Минимально-необходимый диаметр байпаса, мм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FC6C37" w:rsidP="00A86B4E">
            <w:r>
              <w:t>Кам. К1311/15 – кам. 1311/11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296949" w:rsidRDefault="00D675E6" w:rsidP="00296949">
            <w:pPr>
              <w:jc w:val="center"/>
              <w:rPr>
                <w:bCs/>
              </w:rPr>
            </w:pPr>
            <w:r>
              <w:rPr>
                <w:bCs/>
              </w:rPr>
              <w:t>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1A1F81">
            <w:r w:rsidRPr="008838DF">
              <w:t xml:space="preserve">Предусмотреть СОДК состояния ППУ- изоляции с передачей сигналов в ДО эксплуатирующего филиала ПАО «МОЭК».  Обеспечить совместную работу СОДК </w:t>
            </w:r>
            <w:r w:rsidRPr="008838DF">
              <w:lastRenderedPageBreak/>
              <w:t>на прилегающих участках в ППУ-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lastRenderedPageBreak/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FC6C37" w:rsidP="00A86B4E">
            <w:r>
              <w:t>Кам. К1311/15 – кам. 1311/11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A30D8F">
            <w:pPr>
              <w:jc w:val="center"/>
            </w:pPr>
            <w:r>
              <w:t>Требуется</w:t>
            </w:r>
          </w:p>
          <w:p w:rsidR="00D675E6" w:rsidRPr="004143CA" w:rsidRDefault="00D675E6" w:rsidP="00A30D8F">
            <w:pPr>
              <w:jc w:val="center"/>
            </w:pP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Р</w:t>
            </w:r>
            <w:r w:rsidRPr="007502C9">
              <w:t>еконструкция</w:t>
            </w:r>
            <w:r>
              <w:t xml:space="preserve"> с заменой электрооборудования.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3.11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D32A65">
            <w:r w:rsidRPr="004143CA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Default="00D675E6" w:rsidP="00B15BFB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D675E6" w:rsidRDefault="00D675E6" w:rsidP="00B15BFB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D675E6" w:rsidRDefault="00D675E6" w:rsidP="00B15BFB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D675E6" w:rsidRDefault="00D675E6" w:rsidP="00B15BFB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D675E6" w:rsidRDefault="00D675E6" w:rsidP="00B15BFB">
            <w:r>
              <w:t>4. Применение запорной арматуры по критериям ПАО «МОЭК» (Справочник ПАО «МОЭК»).</w:t>
            </w:r>
          </w:p>
          <w:p w:rsidR="00D675E6" w:rsidRPr="00AE5896" w:rsidRDefault="00D675E6" w:rsidP="00B15BFB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0F5308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F1B07">
            <w:r w:rsidRPr="00AE5896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5669E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21004" w:rsidRDefault="00D675E6" w:rsidP="00EC640F">
            <w:r w:rsidRPr="00221004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4.3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54674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B15BFB">
            <w:r>
              <w:t>Проектную и рабочую документацию выполнить в соответствии с нормативными документами, действующими на момент проектирования в т.ч. постановлением Правительства РФ № 87 от 16.02.2008 и ГОСТ Р 21.1101-2009.</w:t>
            </w:r>
          </w:p>
          <w:p w:rsidR="00D675E6" w:rsidRDefault="00D675E6" w:rsidP="00B15BFB">
            <w:r>
              <w:lastRenderedPageBreak/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D675E6" w:rsidRDefault="00D675E6" w:rsidP="00B15BFB">
            <w:r>
              <w:t>определения стоимости строительства и получения необходимых согласований.</w:t>
            </w:r>
          </w:p>
          <w:p w:rsidR="00D675E6" w:rsidRPr="004143CA" w:rsidRDefault="00D675E6" w:rsidP="00B15BFB">
            <w:r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</w:t>
            </w:r>
            <w:r w:rsidRPr="00296949">
              <w:t>объеме необходимом и достаточном для производства строительно-монтажных работ.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lastRenderedPageBreak/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т.ч. </w:t>
            </w:r>
            <w:r w:rsidRPr="00781CEF">
              <w:t>расчет водоотведения, водопонижения, дождевых стоков (л/с), схема водоотведения (в соответствии с постановлением от 04.11.2004 №2217-РП)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4.3.7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необходимости.</w:t>
            </w:r>
          </w:p>
          <w:p w:rsidR="00D675E6" w:rsidRPr="00781CEF" w:rsidRDefault="00D675E6" w:rsidP="0006653C"/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4.3.8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4.3.9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4.3.10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4.3.11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«Дендроплан существующих зеленых насаждений и перечетная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lastRenderedPageBreak/>
              <w:t>4.</w:t>
            </w:r>
            <w:r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Требуется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</w:t>
            </w:r>
            <w:r>
              <w:t>одимости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4.4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C4F61">
            <w:r w:rsidRPr="004143CA">
              <w:t>Требования к разделу «Смета</w:t>
            </w:r>
          </w:p>
          <w:p w:rsidR="00D675E6" w:rsidRPr="004143CA" w:rsidRDefault="00D675E6" w:rsidP="001C4F61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221004">
            <w:r w:rsidRPr="00296949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</w:p>
          <w:p w:rsidR="00D675E6" w:rsidRPr="00296949" w:rsidRDefault="00D675E6" w:rsidP="00221004">
            <w:r w:rsidRPr="00296949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D675E6" w:rsidRPr="00296949" w:rsidRDefault="00D675E6" w:rsidP="00221004">
            <w:r w:rsidRPr="00296949">
              <w:t>- затраты на порубочный билет (ДПиООС),</w:t>
            </w:r>
          </w:p>
          <w:p w:rsidR="00D675E6" w:rsidRPr="00296949" w:rsidRDefault="00D675E6" w:rsidP="00221004">
            <w:r w:rsidRPr="00296949">
              <w:t>- затраты на договор водоотведения (Мосводосток),</w:t>
            </w:r>
          </w:p>
          <w:p w:rsidR="00D675E6" w:rsidRPr="00296949" w:rsidRDefault="00D675E6" w:rsidP="00221004">
            <w:r w:rsidRPr="00296949">
              <w:t>- затраты на контрольно-геодезическую съемку, согласование исполнительного чертежа, выполнение технического плана (Мосгоргеотрест),</w:t>
            </w:r>
          </w:p>
          <w:p w:rsidR="00D675E6" w:rsidRPr="00296949" w:rsidRDefault="00D675E6" w:rsidP="00221004">
            <w:r w:rsidRPr="00296949">
              <w:t>- затраты на авторский надзор,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 ,</w:t>
            </w:r>
          </w:p>
          <w:p w:rsidR="00D675E6" w:rsidRPr="00296949" w:rsidRDefault="00D675E6" w:rsidP="00221004">
            <w:r w:rsidRPr="00296949">
              <w:t>- затраты на проведение обследования и мониторинга за состоянием строительных конструкций,</w:t>
            </w:r>
          </w:p>
          <w:p w:rsidR="00D675E6" w:rsidRPr="00296949" w:rsidRDefault="00D675E6" w:rsidP="00221004">
            <w:r w:rsidRPr="00296949">
              <w:t>- затраты на выполнение архитектурного надзора,</w:t>
            </w:r>
          </w:p>
          <w:p w:rsidR="00D675E6" w:rsidRPr="00296949" w:rsidRDefault="00D675E6" w:rsidP="00221004">
            <w:r w:rsidRPr="00296949">
              <w:t xml:space="preserve">- другие затраты, необходимость которых выявилась в процессе проектирования. </w:t>
            </w:r>
          </w:p>
          <w:p w:rsidR="00D675E6" w:rsidRPr="00296949" w:rsidRDefault="00D675E6" w:rsidP="00221004">
            <w:r w:rsidRPr="00296949">
              <w:t>Указанные затраты, сопровождающие СМР, отразить в сводной информационной таблице.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4.5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C194C" w:rsidRDefault="008C194C" w:rsidP="008C194C">
            <w:pPr>
              <w:jc w:val="both"/>
              <w:rPr>
                <w:i/>
                <w:iCs/>
              </w:rPr>
            </w:pPr>
            <w:r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>(если строительство/реконструкция предполагается на землях особо охраняемых природных территорий или на основании Заключения ДПиООС)</w:t>
            </w:r>
          </w:p>
          <w:p w:rsidR="008C194C" w:rsidRDefault="008C194C" w:rsidP="008C194C">
            <w:pPr>
              <w:jc w:val="both"/>
            </w:pPr>
            <w:r>
              <w:t xml:space="preserve">2. Необходимо проведение экспертизы проектной документации </w:t>
            </w:r>
          </w:p>
          <w:p w:rsidR="008C194C" w:rsidRDefault="008C194C" w:rsidP="008C194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8C194C" w:rsidRDefault="008C194C" w:rsidP="008C194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- для нового строительства</w:t>
            </w:r>
          </w:p>
          <w:p w:rsidR="008C194C" w:rsidRDefault="008C194C" w:rsidP="008C194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8C194C" w:rsidRDefault="008C194C" w:rsidP="008C194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8C194C" w:rsidRDefault="008C194C" w:rsidP="008C194C">
            <w:pPr>
              <w:jc w:val="both"/>
            </w:pPr>
            <w:r>
              <w:t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ГрадКодекса РФ и постановления Правительства РФ от 16 февраля 2008 г. № 87.</w:t>
            </w:r>
          </w:p>
          <w:p w:rsidR="00D675E6" w:rsidRPr="00296949" w:rsidRDefault="008C194C" w:rsidP="008C194C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lastRenderedPageBreak/>
              <w:t>4.6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8C194C" w:rsidP="00EF1F19">
            <w:r>
              <w:t>Требуется согласно СП 11-110-99 «Авторский надзор за строительством зданий и сооружений»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4.7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F1F19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ED4C29">
            <w:r w:rsidRPr="00296949">
              <w:t xml:space="preserve">Проектную документацию необходимо согласовать с: </w:t>
            </w:r>
          </w:p>
          <w:p w:rsidR="00D675E6" w:rsidRPr="00296949" w:rsidRDefault="00D675E6" w:rsidP="00ED4C29">
            <w:r w:rsidRPr="00296949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</w:p>
          <w:p w:rsidR="00D675E6" w:rsidRPr="00296949" w:rsidRDefault="00D675E6" w:rsidP="00ED4C29">
            <w:r w:rsidRPr="00296949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D675E6" w:rsidRPr="00296949" w:rsidRDefault="00D675E6" w:rsidP="00ED4C29">
            <w:r w:rsidRPr="00296949">
              <w:t xml:space="preserve">- ОПС ГУП «Мосгоргеотрест»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D675E6" w:rsidRPr="00296949" w:rsidRDefault="00D675E6" w:rsidP="00ED4C29">
            <w:r w:rsidRPr="00296949">
              <w:t>- организациями – по требованию ОПС ГУП «Мосгоргеотрест».</w:t>
            </w:r>
          </w:p>
          <w:p w:rsidR="00D675E6" w:rsidRPr="00296949" w:rsidRDefault="00D675E6" w:rsidP="00ED4C29">
            <w:r w:rsidRPr="00296949">
              <w:t>- Департаментом природопользования и охраны окружающей среды города Москвы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 xml:space="preserve">- Департаментом транспорта и развития дорожно- транспортной инфраструктуры города Москвы </w:t>
            </w:r>
            <w:r w:rsidRPr="00296949">
              <w:rPr>
                <w:i/>
              </w:rPr>
              <w:t>(при проведении работ на проезжей части улиц и магистралей)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 xml:space="preserve">- Мосгорнаследие </w:t>
            </w:r>
            <w:r w:rsidRPr="00296949">
              <w:rPr>
                <w:i/>
              </w:rPr>
              <w:t>(при строительстве в зоне охраны объектов культурного наследия)</w:t>
            </w:r>
          </w:p>
          <w:p w:rsidR="00D675E6" w:rsidRPr="00296949" w:rsidRDefault="00D675E6" w:rsidP="00ED4C29">
            <w:r w:rsidRPr="00296949">
              <w:t>- Другие согласования обеспечивающие ввод объекта в эксплуатацию, необходимость которых обнаружилась в процессе проектирования.</w:t>
            </w:r>
          </w:p>
        </w:tc>
      </w:tr>
      <w:tr w:rsidR="00D675E6" w:rsidRPr="004143CA" w:rsidTr="002E429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D675E6" w:rsidRPr="004143CA" w:rsidTr="002E4297">
        <w:trPr>
          <w:gridAfter w:val="2"/>
          <w:wAfter w:w="4078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Cs/>
              </w:rPr>
            </w:pPr>
            <w:r w:rsidRPr="004143CA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F4270D">
            <w:r w:rsidRPr="004143CA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CB407D">
            <w:r>
              <w:t xml:space="preserve">Проектная и Рабочая документация представляется в </w:t>
            </w:r>
          </w:p>
          <w:p w:rsidR="00D675E6" w:rsidRDefault="00D675E6" w:rsidP="00CB407D">
            <w:r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D675E6" w:rsidRDefault="00D675E6" w:rsidP="00CB407D">
            <w:r>
              <w:lastRenderedPageBreak/>
              <w:t>- в 1 экземпляре на электронном носителе (CD-диск), выполненном в формате «pdf» и «dwg» в соответствии с  постановлением правительства Москвы от 03.11.2015 №728-ПП.</w:t>
            </w:r>
          </w:p>
          <w:p w:rsidR="00D675E6" w:rsidRPr="004143CA" w:rsidRDefault="00D675E6" w:rsidP="00CB407D">
            <w:r>
              <w:t>- а так же Смета в 1 экземпляре в электронном виде в формате «.sob», «.sobx», «.pdf»</w:t>
            </w:r>
          </w:p>
        </w:tc>
      </w:tr>
      <w:tr w:rsidR="002E4297" w:rsidRPr="004143CA" w:rsidTr="002E4297">
        <w:trPr>
          <w:gridAfter w:val="2"/>
          <w:wAfter w:w="4078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4297" w:rsidRDefault="002E4297" w:rsidP="004738DC">
            <w:pPr>
              <w:rPr>
                <w:bCs/>
              </w:rPr>
            </w:pPr>
            <w:r>
              <w:rPr>
                <w:bCs/>
              </w:rPr>
              <w:lastRenderedPageBreak/>
              <w:t>5.2</w:t>
            </w:r>
          </w:p>
          <w:p w:rsidR="002E4297" w:rsidRPr="009B67B0" w:rsidRDefault="002E4297" w:rsidP="004738DC">
            <w:pPr>
              <w:tabs>
                <w:tab w:val="left" w:pos="601"/>
              </w:tabs>
            </w:pPr>
            <w: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4297" w:rsidRPr="004143CA" w:rsidRDefault="002E4297" w:rsidP="004738DC">
            <w:pPr>
              <w:rPr>
                <w:bCs/>
              </w:rPr>
            </w:pPr>
            <w:r>
              <w:rPr>
                <w:bCs/>
              </w:rPr>
              <w:t>Сроки выполнения работ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E4297" w:rsidRDefault="002E4297" w:rsidP="004738DC">
            <w:r>
              <w:t>Заказчик оставляет за собой право скорректировать срок предоставления согласованной ПСД</w:t>
            </w:r>
          </w:p>
        </w:tc>
      </w:tr>
    </w:tbl>
    <w:p w:rsidR="002E4297" w:rsidRPr="004143CA" w:rsidRDefault="002E4297" w:rsidP="002E4297">
      <w:pPr>
        <w:tabs>
          <w:tab w:val="left" w:pos="6511"/>
        </w:tabs>
      </w:pPr>
      <w:r>
        <w:tab/>
      </w:r>
    </w:p>
    <w:p w:rsidR="00B46E3E" w:rsidRPr="004143CA" w:rsidRDefault="00B46E3E"/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936" w:rsidRDefault="007E4936" w:rsidP="005F5964">
      <w:r>
        <w:separator/>
      </w:r>
    </w:p>
  </w:endnote>
  <w:endnote w:type="continuationSeparator" w:id="0">
    <w:p w:rsidR="007E4936" w:rsidRDefault="007E4936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1C4249" w:rsidRDefault="001C42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506">
          <w:rPr>
            <w:noProof/>
          </w:rPr>
          <w:t>1</w:t>
        </w:r>
        <w:r>
          <w:fldChar w:fldCharType="end"/>
        </w:r>
      </w:p>
    </w:sdtContent>
  </w:sdt>
  <w:p w:rsidR="001C4249" w:rsidRDefault="001C424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936" w:rsidRDefault="007E4936" w:rsidP="005F5964">
      <w:r>
        <w:separator/>
      </w:r>
    </w:p>
  </w:footnote>
  <w:footnote w:type="continuationSeparator" w:id="0">
    <w:p w:rsidR="007E4936" w:rsidRDefault="007E4936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3E78"/>
    <w:rsid w:val="0006437E"/>
    <w:rsid w:val="0006653C"/>
    <w:rsid w:val="00070AB2"/>
    <w:rsid w:val="000B14CF"/>
    <w:rsid w:val="000C5896"/>
    <w:rsid w:val="000E2038"/>
    <w:rsid w:val="000E5630"/>
    <w:rsid w:val="000F03EA"/>
    <w:rsid w:val="000F5308"/>
    <w:rsid w:val="00114271"/>
    <w:rsid w:val="00116FEC"/>
    <w:rsid w:val="001248CB"/>
    <w:rsid w:val="00132B88"/>
    <w:rsid w:val="00134C81"/>
    <w:rsid w:val="0014128E"/>
    <w:rsid w:val="00143586"/>
    <w:rsid w:val="00146A4A"/>
    <w:rsid w:val="00146AB3"/>
    <w:rsid w:val="00182041"/>
    <w:rsid w:val="0019782A"/>
    <w:rsid w:val="001A1F81"/>
    <w:rsid w:val="001A3AE3"/>
    <w:rsid w:val="001A79C2"/>
    <w:rsid w:val="001C4249"/>
    <w:rsid w:val="001C4F61"/>
    <w:rsid w:val="001D5637"/>
    <w:rsid w:val="00217BF7"/>
    <w:rsid w:val="00221004"/>
    <w:rsid w:val="00236CD7"/>
    <w:rsid w:val="00242C58"/>
    <w:rsid w:val="002571E5"/>
    <w:rsid w:val="00264FC3"/>
    <w:rsid w:val="00265895"/>
    <w:rsid w:val="002702F5"/>
    <w:rsid w:val="00285F89"/>
    <w:rsid w:val="0028707F"/>
    <w:rsid w:val="00296949"/>
    <w:rsid w:val="002B71BD"/>
    <w:rsid w:val="002D0AAF"/>
    <w:rsid w:val="002D7063"/>
    <w:rsid w:val="002E4297"/>
    <w:rsid w:val="002F3EAD"/>
    <w:rsid w:val="002F4DC6"/>
    <w:rsid w:val="002F7A51"/>
    <w:rsid w:val="00305081"/>
    <w:rsid w:val="0034290C"/>
    <w:rsid w:val="00352D7E"/>
    <w:rsid w:val="00362B04"/>
    <w:rsid w:val="003713F4"/>
    <w:rsid w:val="00392107"/>
    <w:rsid w:val="003A1B84"/>
    <w:rsid w:val="003A5E69"/>
    <w:rsid w:val="003B5506"/>
    <w:rsid w:val="004143CA"/>
    <w:rsid w:val="00422311"/>
    <w:rsid w:val="004313E5"/>
    <w:rsid w:val="004364A5"/>
    <w:rsid w:val="0047681F"/>
    <w:rsid w:val="004837C5"/>
    <w:rsid w:val="00494330"/>
    <w:rsid w:val="004A7CDD"/>
    <w:rsid w:val="004D2AB3"/>
    <w:rsid w:val="004F1B07"/>
    <w:rsid w:val="005067EC"/>
    <w:rsid w:val="005101B8"/>
    <w:rsid w:val="00517752"/>
    <w:rsid w:val="0053149C"/>
    <w:rsid w:val="00541963"/>
    <w:rsid w:val="00543729"/>
    <w:rsid w:val="00571EC0"/>
    <w:rsid w:val="0057308F"/>
    <w:rsid w:val="00596807"/>
    <w:rsid w:val="005A5E09"/>
    <w:rsid w:val="005B3FD8"/>
    <w:rsid w:val="005C3D67"/>
    <w:rsid w:val="005F5964"/>
    <w:rsid w:val="0060196F"/>
    <w:rsid w:val="0061503F"/>
    <w:rsid w:val="0064559D"/>
    <w:rsid w:val="00652B17"/>
    <w:rsid w:val="0065592F"/>
    <w:rsid w:val="00660F2D"/>
    <w:rsid w:val="00670190"/>
    <w:rsid w:val="006877B1"/>
    <w:rsid w:val="006928F8"/>
    <w:rsid w:val="00695636"/>
    <w:rsid w:val="006B481D"/>
    <w:rsid w:val="006C1ED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4F18"/>
    <w:rsid w:val="0075159A"/>
    <w:rsid w:val="007540F8"/>
    <w:rsid w:val="0075669E"/>
    <w:rsid w:val="007606C3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D22A3"/>
    <w:rsid w:val="007E4936"/>
    <w:rsid w:val="007E7054"/>
    <w:rsid w:val="00803822"/>
    <w:rsid w:val="00827306"/>
    <w:rsid w:val="008353B2"/>
    <w:rsid w:val="00835790"/>
    <w:rsid w:val="00852912"/>
    <w:rsid w:val="008575DE"/>
    <w:rsid w:val="00862540"/>
    <w:rsid w:val="00864480"/>
    <w:rsid w:val="008763DE"/>
    <w:rsid w:val="008838DF"/>
    <w:rsid w:val="008B4E55"/>
    <w:rsid w:val="008C194C"/>
    <w:rsid w:val="008C4B92"/>
    <w:rsid w:val="008C50B7"/>
    <w:rsid w:val="008F6658"/>
    <w:rsid w:val="009059EA"/>
    <w:rsid w:val="0090610C"/>
    <w:rsid w:val="00920819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5F75"/>
    <w:rsid w:val="00A2590F"/>
    <w:rsid w:val="00A30D8F"/>
    <w:rsid w:val="00A440AB"/>
    <w:rsid w:val="00A5261B"/>
    <w:rsid w:val="00A54C9B"/>
    <w:rsid w:val="00A63C18"/>
    <w:rsid w:val="00A730EE"/>
    <w:rsid w:val="00A837BF"/>
    <w:rsid w:val="00A907FB"/>
    <w:rsid w:val="00A97F79"/>
    <w:rsid w:val="00AB3F33"/>
    <w:rsid w:val="00AB70DE"/>
    <w:rsid w:val="00AE009B"/>
    <w:rsid w:val="00AE22E7"/>
    <w:rsid w:val="00AE330D"/>
    <w:rsid w:val="00AE5896"/>
    <w:rsid w:val="00B00FFC"/>
    <w:rsid w:val="00B04B99"/>
    <w:rsid w:val="00B15BFB"/>
    <w:rsid w:val="00B3071D"/>
    <w:rsid w:val="00B350D1"/>
    <w:rsid w:val="00B46E3E"/>
    <w:rsid w:val="00B534E6"/>
    <w:rsid w:val="00B60298"/>
    <w:rsid w:val="00B76705"/>
    <w:rsid w:val="00B805FB"/>
    <w:rsid w:val="00BB48D0"/>
    <w:rsid w:val="00BC0E3A"/>
    <w:rsid w:val="00BC642E"/>
    <w:rsid w:val="00BD4C9E"/>
    <w:rsid w:val="00BF2862"/>
    <w:rsid w:val="00BF3567"/>
    <w:rsid w:val="00C077A9"/>
    <w:rsid w:val="00C26E12"/>
    <w:rsid w:val="00C33D91"/>
    <w:rsid w:val="00C34103"/>
    <w:rsid w:val="00C354D3"/>
    <w:rsid w:val="00C671EE"/>
    <w:rsid w:val="00C77421"/>
    <w:rsid w:val="00C9625B"/>
    <w:rsid w:val="00CB407D"/>
    <w:rsid w:val="00CD1F5F"/>
    <w:rsid w:val="00CD3DE4"/>
    <w:rsid w:val="00CE5157"/>
    <w:rsid w:val="00CF21F7"/>
    <w:rsid w:val="00D053D0"/>
    <w:rsid w:val="00D32A65"/>
    <w:rsid w:val="00D500C5"/>
    <w:rsid w:val="00D6056A"/>
    <w:rsid w:val="00D675E6"/>
    <w:rsid w:val="00D67C3E"/>
    <w:rsid w:val="00D87827"/>
    <w:rsid w:val="00D94866"/>
    <w:rsid w:val="00DA561A"/>
    <w:rsid w:val="00DA6DC7"/>
    <w:rsid w:val="00DC38CB"/>
    <w:rsid w:val="00DD1617"/>
    <w:rsid w:val="00DD28AA"/>
    <w:rsid w:val="00DD5663"/>
    <w:rsid w:val="00DE6E5A"/>
    <w:rsid w:val="00DF16C1"/>
    <w:rsid w:val="00E051CE"/>
    <w:rsid w:val="00E14827"/>
    <w:rsid w:val="00E23893"/>
    <w:rsid w:val="00E24081"/>
    <w:rsid w:val="00E36402"/>
    <w:rsid w:val="00E50DE1"/>
    <w:rsid w:val="00E62AA1"/>
    <w:rsid w:val="00E643EA"/>
    <w:rsid w:val="00E72CC6"/>
    <w:rsid w:val="00E813AC"/>
    <w:rsid w:val="00E85E30"/>
    <w:rsid w:val="00E92A1A"/>
    <w:rsid w:val="00EB1466"/>
    <w:rsid w:val="00EC5336"/>
    <w:rsid w:val="00EC640F"/>
    <w:rsid w:val="00ED03FA"/>
    <w:rsid w:val="00ED4C29"/>
    <w:rsid w:val="00EE368A"/>
    <w:rsid w:val="00EF1F19"/>
    <w:rsid w:val="00F30282"/>
    <w:rsid w:val="00F4270D"/>
    <w:rsid w:val="00F50538"/>
    <w:rsid w:val="00F57F49"/>
    <w:rsid w:val="00F638B6"/>
    <w:rsid w:val="00F818F0"/>
    <w:rsid w:val="00FB5D2C"/>
    <w:rsid w:val="00FC6C37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Кириченко Наталия Александровна</cp:lastModifiedBy>
  <cp:revision>2</cp:revision>
  <cp:lastPrinted>2016-02-25T08:39:00Z</cp:lastPrinted>
  <dcterms:created xsi:type="dcterms:W3CDTF">2017-01-18T08:45:00Z</dcterms:created>
  <dcterms:modified xsi:type="dcterms:W3CDTF">2017-01-18T08:45:00Z</dcterms:modified>
</cp:coreProperties>
</file>