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  <w:bookmarkStart w:id="0" w:name="_GoBack"/>
      <w:bookmarkEnd w:id="0"/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 __________ (________) 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 xml:space="preserve">.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7D7C7F">
        <w:rPr>
          <w:sz w:val="24"/>
          <w:szCs w:val="24"/>
        </w:rPr>
        <w:t xml:space="preserve">(________)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ст.ст.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Гарантийный срок на Товар составляет ____ </w:t>
      </w:r>
      <w:r w:rsidR="002B3F16">
        <w:rPr>
          <w:sz w:val="24"/>
          <w:szCs w:val="24"/>
        </w:rPr>
        <w:t xml:space="preserve">(_________) </w:t>
      </w:r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а также право собственности на него переходит от Поставщика к Покупателю с даты подписания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 xml:space="preserve">7.  </w:t>
      </w:r>
      <w:r w:rsidRPr="00942D3A">
        <w:rPr>
          <w:szCs w:val="24"/>
        </w:rPr>
        <w:t>Договора).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  В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 xml:space="preserve">оговора с Субпоставщиком (-ами) из числа СМСП предоставить  Покупателю информацию о заключенном(-ых) договоре(-ах) с Субпоставщиком (-ами)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4.1.6.3. В случае непредставления, несвоевременного предоставления указанной в п. 4.1.6.2</w:t>
      </w:r>
      <w:r w:rsidR="002B3F16">
        <w:rPr>
          <w:i/>
          <w:sz w:val="24"/>
          <w:szCs w:val="24"/>
        </w:rPr>
        <w:t xml:space="preserve">. </w:t>
      </w:r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 Возмещение расходов осуществляется в течение 5 (пяти) дней с даты выставления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 (-ов)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с даты получения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4.1.6.6. 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свойства которого не позволяют устранить эти недостатки (неремонтопригодность);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«выпуск в свободное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>5.1. В случае просрочки в поставке Товара (п. 1.3.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с даты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обстоятельств Сторона,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с даты получения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>. Договор составлен в 2 (двух) экземплярах, равных по юридической силе, по одному -для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942D3A" w:rsidTr="007D7C7F">
        <w:tc>
          <w:tcPr>
            <w:tcW w:w="5139" w:type="dxa"/>
          </w:tcPr>
          <w:p w:rsidR="00942D3A" w:rsidRPr="00942D3A" w:rsidRDefault="00601E36" w:rsidP="00601E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="00942D3A" w:rsidRPr="00942D3A">
              <w:rPr>
                <w:sz w:val="24"/>
                <w:szCs w:val="24"/>
              </w:rPr>
              <w:t>Подписи сторон:</w:t>
            </w: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942D3A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П</w:t>
      </w:r>
      <w:r w:rsidR="007F327A">
        <w:rPr>
          <w:sz w:val="24"/>
          <w:szCs w:val="24"/>
        </w:rPr>
        <w:t>оставщик</w:t>
      </w:r>
      <w:r w:rsidRPr="00942D3A">
        <w:rPr>
          <w:sz w:val="24"/>
          <w:szCs w:val="24"/>
        </w:rPr>
        <w:t>: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По</w:t>
      </w:r>
      <w:r w:rsidR="007F327A">
        <w:rPr>
          <w:sz w:val="24"/>
          <w:szCs w:val="24"/>
        </w:rPr>
        <w:t>купатель</w:t>
      </w:r>
      <w:r w:rsidRPr="00942D3A">
        <w:rPr>
          <w:sz w:val="24"/>
          <w:szCs w:val="24"/>
        </w:rPr>
        <w:t>: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  <w:r w:rsidRPr="00942D3A">
        <w:rPr>
          <w:sz w:val="24"/>
          <w:szCs w:val="24"/>
        </w:rPr>
        <w:t>___________________________</w:t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</w:r>
      <w:r w:rsidRPr="00942D3A">
        <w:rPr>
          <w:sz w:val="24"/>
          <w:szCs w:val="24"/>
        </w:rPr>
        <w:tab/>
        <w:t>_________________________________</w:t>
      </w: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(календ. дни)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>_______) 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930894">
            <w:pPr>
              <w:jc w:val="center"/>
              <w:rPr>
                <w:b/>
                <w:sz w:val="24"/>
                <w:szCs w:val="24"/>
              </w:rPr>
            </w:pPr>
            <w:r w:rsidRPr="00930894">
              <w:rPr>
                <w:sz w:val="24"/>
                <w:szCs w:val="24"/>
              </w:rPr>
              <w:t>М.п.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Pr="00942D3A" w:rsidRDefault="00930894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(календ. дни)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DA34E0">
            <w:pPr>
              <w:jc w:val="center"/>
              <w:rPr>
                <w:b/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М.п.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(ненужное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E7050A" w:rsidRDefault="00E7050A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Pr="00E17F17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7050A" w:rsidRPr="00E17F17" w:rsidTr="00E7050A">
        <w:tc>
          <w:tcPr>
            <w:tcW w:w="4395" w:type="dxa"/>
          </w:tcPr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__________________/________________/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E7050A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7F327A" w:rsidRDefault="007F327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</w:p>
          <w:p w:rsidR="00E7050A" w:rsidRPr="00E17F17" w:rsidRDefault="00E7050A" w:rsidP="00E7050A">
            <w:pPr>
              <w:tabs>
                <w:tab w:val="left" w:pos="5670"/>
              </w:tabs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___________________/</w:t>
            </w:r>
            <w:r>
              <w:rPr>
                <w:lang w:eastAsia="ar-SA"/>
              </w:rPr>
              <w:t>__________</w:t>
            </w:r>
            <w:r w:rsidRPr="00E17F17">
              <w:rPr>
                <w:lang w:eastAsia="ar-SA"/>
              </w:rPr>
              <w:t>/</w:t>
            </w:r>
          </w:p>
          <w:p w:rsidR="00E7050A" w:rsidRPr="00E17F17" w:rsidRDefault="00E7050A" w:rsidP="00E7050A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Доводим до Вашего сведения, что Грузополучателем  по Договору №------ от------(Договор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указанными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  <w:r w:rsidRPr="00F653F0">
        <w:rPr>
          <w:b/>
          <w:sz w:val="24"/>
          <w:szCs w:val="24"/>
        </w:rPr>
        <w:t>Форма согласована:</w:t>
      </w:r>
    </w:p>
    <w:p w:rsidR="00DA34E0" w:rsidRPr="00F653F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  <w:sz w:val="24"/>
          <w:szCs w:val="24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F653F0" w:rsidRPr="00F653F0" w:rsidTr="00F653F0">
        <w:tc>
          <w:tcPr>
            <w:tcW w:w="4395" w:type="dxa"/>
          </w:tcPr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Поставщик:</w:t>
            </w:r>
          </w:p>
          <w:p w:rsidR="00F653F0" w:rsidRPr="00701868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701868">
              <w:rPr>
                <w:sz w:val="24"/>
                <w:szCs w:val="24"/>
                <w:lang w:eastAsia="ar-SA"/>
              </w:rPr>
              <w:t>___________________________________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__________________/________________/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961" w:type="dxa"/>
            <w:hideMark/>
          </w:tcPr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sz w:val="24"/>
                <w:szCs w:val="24"/>
                <w:lang w:eastAsia="ar-SA"/>
              </w:rPr>
            </w:pPr>
            <w:r w:rsidRPr="00F653F0">
              <w:rPr>
                <w:b/>
                <w:sz w:val="24"/>
                <w:szCs w:val="24"/>
                <w:lang w:eastAsia="ar-SA"/>
              </w:rPr>
              <w:t>Покупатель: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_______________________________</w:t>
            </w: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</w:p>
          <w:p w:rsidR="00F653F0" w:rsidRPr="00F653F0" w:rsidRDefault="00F653F0" w:rsidP="00F653F0">
            <w:pPr>
              <w:tabs>
                <w:tab w:val="left" w:pos="5670"/>
              </w:tabs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___________________/___________/</w:t>
            </w:r>
          </w:p>
          <w:p w:rsidR="00F653F0" w:rsidRPr="00F653F0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sz w:val="24"/>
                <w:szCs w:val="24"/>
                <w:lang w:eastAsia="ar-SA"/>
              </w:rPr>
            </w:pPr>
            <w:r w:rsidRPr="00F653F0">
              <w:rPr>
                <w:sz w:val="24"/>
                <w:szCs w:val="24"/>
                <w:lang w:eastAsia="ar-SA"/>
              </w:rPr>
              <w:t>М.п.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601E36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           п/п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r w:rsidRPr="00E17F17">
              <w:t>м.п.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  <w:r w:rsidRPr="00E17F17">
        <w:rPr>
          <w:b/>
        </w:rPr>
        <w:t>Форма согласована:</w:t>
      </w:r>
    </w:p>
    <w:p w:rsidR="00DA34E0" w:rsidRPr="00E17F17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E17F17" w:rsidRDefault="00F653F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E17F17" w:rsidTr="00F653F0">
        <w:tc>
          <w:tcPr>
            <w:tcW w:w="7514" w:type="dxa"/>
          </w:tcPr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Поставщик: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b/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ind w:hanging="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ind w:left="-108"/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  <w:tc>
          <w:tcPr>
            <w:tcW w:w="6946" w:type="dxa"/>
          </w:tcPr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b/>
                <w:lang w:eastAsia="ar-SA"/>
              </w:rPr>
            </w:pPr>
            <w:r w:rsidRPr="00E17F17">
              <w:rPr>
                <w:b/>
                <w:lang w:eastAsia="ar-SA"/>
              </w:rPr>
              <w:t>Покупатель: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______________________/__________________/</w:t>
            </w:r>
          </w:p>
          <w:p w:rsidR="00F653F0" w:rsidRPr="00E17F17" w:rsidRDefault="00F653F0" w:rsidP="00F653F0">
            <w:pPr>
              <w:tabs>
                <w:tab w:val="left" w:pos="5670"/>
              </w:tabs>
              <w:jc w:val="both"/>
              <w:outlineLvl w:val="1"/>
              <w:rPr>
                <w:lang w:eastAsia="ar-SA"/>
              </w:rPr>
            </w:pPr>
            <w:r w:rsidRPr="00E17F17">
              <w:rPr>
                <w:lang w:eastAsia="ar-SA"/>
              </w:rPr>
              <w:t>М.п.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13" w:rsidRDefault="00842C13" w:rsidP="00942D3A">
      <w:r>
        <w:separator/>
      </w:r>
    </w:p>
  </w:endnote>
  <w:endnote w:type="continuationSeparator" w:id="0">
    <w:p w:rsidR="00842C13" w:rsidRDefault="00842C1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9"/>
    </w:pPr>
  </w:p>
  <w:p w:rsidR="007F327A" w:rsidRPr="00B4097C" w:rsidRDefault="007F327A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AEE31" wp14:editId="7AA0CA54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F327A" w:rsidRPr="0018105C" w:rsidRDefault="007F327A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B1496A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7F327A" w:rsidRPr="0018105C" w:rsidRDefault="007F327A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B1496A">
                      <w:rPr>
                        <w:rFonts w:ascii="Cambria" w:hAnsi="Cambria"/>
                        <w:noProof/>
                        <w:color w:val="000000"/>
                      </w:rPr>
                      <w:t>2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57EF460" wp14:editId="7271C417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389370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389370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3717003" id="Прямоугольник 58" o:spid="_x0000_s1026" style="position:absolute;margin-left:49.55pt;margin-top:791.3pt;width:503.1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13" w:rsidRDefault="00842C13" w:rsidP="00942D3A">
      <w:r>
        <w:separator/>
      </w:r>
    </w:p>
  </w:footnote>
  <w:footnote w:type="continuationSeparator" w:id="0">
    <w:p w:rsidR="00842C13" w:rsidRDefault="00842C13" w:rsidP="00942D3A">
      <w:r>
        <w:continuationSeparator/>
      </w:r>
    </w:p>
  </w:footnote>
  <w:footnote w:id="1">
    <w:p w:rsidR="007F327A" w:rsidRPr="00394BCB" w:rsidRDefault="007F327A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Пункт включается,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7F327A" w:rsidRPr="00394BCB" w:rsidRDefault="007F327A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7A" w:rsidRDefault="007F327A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F327A" w:rsidRDefault="007F32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523E5"/>
    <w:rsid w:val="00394BCB"/>
    <w:rsid w:val="003C411D"/>
    <w:rsid w:val="0040050C"/>
    <w:rsid w:val="004078B9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826266"/>
    <w:rsid w:val="00834B7D"/>
    <w:rsid w:val="00842C13"/>
    <w:rsid w:val="00862971"/>
    <w:rsid w:val="008E35F6"/>
    <w:rsid w:val="008F0767"/>
    <w:rsid w:val="009176C8"/>
    <w:rsid w:val="00930894"/>
    <w:rsid w:val="00942D3A"/>
    <w:rsid w:val="00957EF9"/>
    <w:rsid w:val="009739E3"/>
    <w:rsid w:val="00AC1928"/>
    <w:rsid w:val="00AC5E5B"/>
    <w:rsid w:val="00B0307C"/>
    <w:rsid w:val="00B145A0"/>
    <w:rsid w:val="00B1496A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9FE22-8A55-4DF9-A4F3-94FBE87A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5916</Words>
  <Characters>33725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2</cp:revision>
  <cp:lastPrinted>2016-04-18T06:13:00Z</cp:lastPrinted>
  <dcterms:created xsi:type="dcterms:W3CDTF">2016-12-21T08:41:00Z</dcterms:created>
  <dcterms:modified xsi:type="dcterms:W3CDTF">2016-12-21T08:41:00Z</dcterms:modified>
</cp:coreProperties>
</file>