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665D6CE"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 xml:space="preserve">выполнение </w:t>
      </w:r>
      <w:r w:rsidR="004C7F05">
        <w:rPr>
          <w:b/>
          <w:sz w:val="28"/>
          <w:szCs w:val="28"/>
        </w:rPr>
        <w:t>строительно-монтажных работ для подключения</w:t>
      </w:r>
      <w:proofErr w:type="gramEnd"/>
      <w:r w:rsidR="004C7F05">
        <w:rPr>
          <w:b/>
          <w:sz w:val="28"/>
          <w:szCs w:val="28"/>
        </w:rPr>
        <w:t xml:space="preserve"> к системам теплоснабжения ПАО «МОЭК» 4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DA5952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4C7F05">
        <w:rPr>
          <w:b/>
          <w:sz w:val="28"/>
          <w:szCs w:val="28"/>
        </w:rPr>
        <w:t>11393</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0BE0371"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 xml:space="preserve">выполнение </w:t>
      </w:r>
      <w:r w:rsidR="004C7F05">
        <w:rPr>
          <w:sz w:val="24"/>
          <w:szCs w:val="24"/>
        </w:rPr>
        <w:t>строительно-монтажных работ для подключения к системам теплоснабжения ПАО «МОЭК» 4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031AF1B" w:rsidR="005812DF" w:rsidRPr="00813A71" w:rsidRDefault="004C7F05" w:rsidP="0039393C">
            <w:pPr>
              <w:jc w:val="both"/>
              <w:rPr>
                <w:sz w:val="24"/>
                <w:szCs w:val="24"/>
              </w:rPr>
            </w:pPr>
            <w:r>
              <w:rPr>
                <w:sz w:val="24"/>
                <w:szCs w:val="24"/>
              </w:rPr>
              <w:t>30 041 647 (Тридцать миллионов сорок одна тысяча шестьсот сорок семь) рублей 07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C7F0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C7F05" w:rsidP="0001711D">
            <w:pPr>
              <w:jc w:val="both"/>
              <w:rPr>
                <w:sz w:val="24"/>
                <w:szCs w:val="24"/>
              </w:rPr>
            </w:pPr>
            <w:hyperlink r:id="rId10" w:history="1">
              <w:r w:rsidR="0005719A" w:rsidRPr="00397524">
                <w:rPr>
                  <w:sz w:val="24"/>
                  <w:szCs w:val="24"/>
                </w:rPr>
                <w:t>www.oaomoek.ru</w:t>
              </w:r>
            </w:hyperlink>
          </w:p>
          <w:p w14:paraId="4F589B88" w14:textId="77777777" w:rsidR="0005719A" w:rsidRDefault="004C7F0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28B98A79" w:rsidR="00347D83" w:rsidRPr="00D1710B" w:rsidRDefault="00347D83" w:rsidP="00347D83">
            <w:pPr>
              <w:jc w:val="both"/>
              <w:rPr>
                <w:sz w:val="24"/>
                <w:szCs w:val="24"/>
              </w:rPr>
            </w:pPr>
            <w:r w:rsidRPr="00D1710B">
              <w:rPr>
                <w:sz w:val="24"/>
                <w:szCs w:val="24"/>
              </w:rPr>
              <w:t xml:space="preserve">с </w:t>
            </w:r>
            <w:r w:rsidR="00C630B1">
              <w:rPr>
                <w:sz w:val="24"/>
                <w:szCs w:val="24"/>
              </w:rPr>
              <w:t>3</w:t>
            </w:r>
            <w:r w:rsidR="00F246BF">
              <w:rPr>
                <w:sz w:val="24"/>
                <w:szCs w:val="24"/>
              </w:rPr>
              <w:t>1</w:t>
            </w:r>
            <w:r w:rsidR="0039393C">
              <w:rPr>
                <w:sz w:val="24"/>
                <w:szCs w:val="24"/>
              </w:rPr>
              <w:t xml:space="preserve"> марта</w:t>
            </w:r>
            <w:r w:rsidRPr="00D1710B">
              <w:rPr>
                <w:sz w:val="24"/>
                <w:szCs w:val="24"/>
              </w:rPr>
              <w:t xml:space="preserve"> 2017 г.</w:t>
            </w:r>
          </w:p>
          <w:p w14:paraId="789A0619" w14:textId="6F54E25A" w:rsidR="00F30DE6" w:rsidRPr="00B93EEB" w:rsidRDefault="00347D83" w:rsidP="00347D83">
            <w:pPr>
              <w:jc w:val="both"/>
              <w:rPr>
                <w:sz w:val="24"/>
                <w:szCs w:val="24"/>
              </w:rPr>
            </w:pPr>
            <w:r w:rsidRPr="00D1710B">
              <w:rPr>
                <w:sz w:val="24"/>
                <w:szCs w:val="24"/>
              </w:rPr>
              <w:t xml:space="preserve">до 14:00 (время московское) </w:t>
            </w:r>
            <w:r w:rsidR="00F246BF">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55E759D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F246BF">
              <w:rPr>
                <w:sz w:val="24"/>
                <w:szCs w:val="24"/>
              </w:rPr>
              <w:t>31</w:t>
            </w:r>
            <w:r w:rsidR="0039393C">
              <w:rPr>
                <w:sz w:val="24"/>
                <w:szCs w:val="24"/>
              </w:rPr>
              <w:t xml:space="preserve"> марта</w:t>
            </w:r>
            <w:r w:rsidRPr="00D1710B">
              <w:rPr>
                <w:sz w:val="24"/>
                <w:szCs w:val="24"/>
              </w:rPr>
              <w:t xml:space="preserve"> 2017 г.</w:t>
            </w:r>
          </w:p>
          <w:p w14:paraId="2346E19C" w14:textId="40BC4D61"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F246BF">
              <w:rPr>
                <w:sz w:val="24"/>
                <w:szCs w:val="24"/>
              </w:rPr>
              <w:t>05</w:t>
            </w:r>
            <w:r w:rsidR="00CC3826">
              <w:rPr>
                <w:sz w:val="24"/>
                <w:szCs w:val="24"/>
              </w:rPr>
              <w:t xml:space="preserve"> апреля</w:t>
            </w:r>
            <w:r w:rsidR="00CC3826" w:rsidRPr="00D1710B">
              <w:rPr>
                <w:sz w:val="24"/>
                <w:szCs w:val="24"/>
              </w:rPr>
              <w:t xml:space="preserve">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7F0BD24" w:rsidR="00347D83" w:rsidRPr="00D1710B" w:rsidRDefault="00F246BF"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B2EA93D"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F246BF">
              <w:rPr>
                <w:sz w:val="24"/>
                <w:szCs w:val="24"/>
              </w:rPr>
              <w:t>09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lastRenderedPageBreak/>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3B06C047"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w:t>
      </w:r>
      <w:r w:rsidR="004C7F05">
        <w:rPr>
          <w:b/>
          <w:sz w:val="24"/>
          <w:szCs w:val="24"/>
        </w:rPr>
        <w:t>строительно-монтажных работ для подключения</w:t>
      </w:r>
      <w:proofErr w:type="gramEnd"/>
      <w:r w:rsidR="004C7F05">
        <w:rPr>
          <w:b/>
          <w:sz w:val="24"/>
          <w:szCs w:val="24"/>
        </w:rPr>
        <w:t xml:space="preserve"> к системам теплоснабжения ПАО «МОЭК» 4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3FEA9322"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4C7F05">
        <w:rPr>
          <w:b/>
          <w:sz w:val="24"/>
          <w:szCs w:val="24"/>
        </w:rPr>
        <w:t>11393</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23FD8669" w14:textId="77777777" w:rsidR="0026138F" w:rsidRDefault="0026138F" w:rsidP="00DB0229">
      <w:pPr>
        <w:rPr>
          <w:b/>
          <w:sz w:val="28"/>
          <w:szCs w:val="28"/>
        </w:rPr>
      </w:pPr>
    </w:p>
    <w:p w14:paraId="31F3E5F6" w14:textId="77777777" w:rsidR="00F246BF" w:rsidRDefault="00F246BF" w:rsidP="00DB0229">
      <w:pPr>
        <w:rPr>
          <w:b/>
          <w:sz w:val="28"/>
          <w:szCs w:val="28"/>
        </w:rPr>
      </w:pPr>
    </w:p>
    <w:p w14:paraId="33897376" w14:textId="77777777" w:rsidR="004C7F05" w:rsidRPr="00F246BF" w:rsidRDefault="004C7F05" w:rsidP="00DB0229">
      <w:pP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4C7F05">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4C7F05">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4C7F05">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4C7F05">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4C7F05">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4C7F05">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4C7F05">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4C7F05">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4C7F05">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4C7F05">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4C7F05">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4C7F05">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4C7F05">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4C7F05">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4C7F05">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4C7F05">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4C7F05">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4C7F05">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4C7F05">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4C7F05">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4C7F05">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4C7F05">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4C7F05">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4C7F05">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4C7F05">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4C7F05">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4C7F05">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4C7F05">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4C7F05">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4C7F05">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4C7F05">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4C7F05">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4C7F05">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4C7F05">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4C7F05">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4C7F05"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4C7F05">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4C7F05">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4C7F05">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4C7F05">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4C7F05">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4C7F05">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4C7F05">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4C7F05">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4C7F05">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4C7F05">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4C7F05">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4C7F05">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4C7F05">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4C7F05">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4C7F05">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4C7F05">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4C7F05">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4C7F05">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4C7F05">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4C7F05">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4C7F05">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4C7F05"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4C7F05"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53F3E37" w:rsidR="004D4ECA" w:rsidRPr="00953AE0" w:rsidRDefault="003B1FA6" w:rsidP="00C6387C">
            <w:pPr>
              <w:ind w:left="-25"/>
              <w:jc w:val="both"/>
            </w:pPr>
            <w:r w:rsidRPr="00953AE0">
              <w:t>№</w:t>
            </w:r>
            <w:r w:rsidR="00953AE0" w:rsidRPr="00953AE0">
              <w:t xml:space="preserve"> </w:t>
            </w:r>
            <w:r w:rsidR="004C7F05">
              <w:t>11393</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435FE1F6" w:rsidR="00F4413F" w:rsidRPr="00953AE0" w:rsidRDefault="00D3124B" w:rsidP="0039393C">
            <w:pPr>
              <w:ind w:left="-25"/>
              <w:jc w:val="both"/>
            </w:pPr>
            <w:r w:rsidRPr="00953AE0">
              <w:t>№</w:t>
            </w:r>
            <w:r w:rsidR="00953AE0" w:rsidRPr="00953AE0">
              <w:t xml:space="preserve"> </w:t>
            </w:r>
            <w:r w:rsidR="004C7F05">
              <w:t>11393</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0EC43DDB" w:rsidR="0039393C" w:rsidRDefault="0039393C" w:rsidP="00305A81">
            <w:pPr>
              <w:keepNext/>
              <w:keepLines/>
              <w:autoSpaceDE w:val="0"/>
              <w:autoSpaceDN w:val="0"/>
              <w:adjustRightInd w:val="0"/>
              <w:jc w:val="both"/>
            </w:pPr>
            <w:r w:rsidRPr="0039393C">
              <w:t xml:space="preserve">выполнение </w:t>
            </w:r>
            <w:r w:rsidR="004C7F05">
              <w:t>строительно-монтажных работ для подключения к системам теплоснабжения ПАО «МОЭК» 4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w:t>
            </w:r>
            <w:bookmarkStart w:id="215" w:name="_GoBack"/>
            <w:bookmarkEnd w:id="215"/>
            <w:r w:rsidRPr="005E5BC2">
              <w:t>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3C7256B8" w:rsidR="00810696" w:rsidRPr="00C0052D" w:rsidRDefault="00810696" w:rsidP="004C7F05">
            <w:pPr>
              <w:keepNext/>
              <w:keepLines/>
              <w:autoSpaceDE w:val="0"/>
              <w:autoSpaceDN w:val="0"/>
              <w:adjustRightInd w:val="0"/>
              <w:jc w:val="both"/>
            </w:pPr>
            <w:r w:rsidRPr="00953AE0">
              <w:t>Срок око</w:t>
            </w:r>
            <w:r w:rsidR="00305A81" w:rsidRPr="00953AE0">
              <w:t xml:space="preserve">нчания выполнения работ – </w:t>
            </w:r>
            <w:r w:rsidR="0039393C" w:rsidRPr="00C630B1">
              <w:rPr>
                <w:b/>
              </w:rPr>
              <w:t>01</w:t>
            </w:r>
            <w:r w:rsidR="00C0052D" w:rsidRPr="00C630B1">
              <w:rPr>
                <w:b/>
              </w:rPr>
              <w:t>.</w:t>
            </w:r>
            <w:r w:rsidR="0039393C" w:rsidRPr="00C630B1">
              <w:rPr>
                <w:b/>
              </w:rPr>
              <w:t>0</w:t>
            </w:r>
            <w:r w:rsidR="004C7F05">
              <w:rPr>
                <w:b/>
              </w:rPr>
              <w:t>7</w:t>
            </w:r>
            <w:r w:rsidR="00953AE0" w:rsidRPr="00C630B1">
              <w:rPr>
                <w:b/>
              </w:rPr>
              <w:t>.</w:t>
            </w:r>
            <w:r w:rsidR="00C6387C" w:rsidRPr="00C630B1">
              <w:rPr>
                <w:b/>
              </w:rPr>
              <w:t>20</w:t>
            </w:r>
            <w:r w:rsidR="00953AE0" w:rsidRPr="00C630B1">
              <w:rPr>
                <w:b/>
              </w:rPr>
              <w:t>1</w:t>
            </w:r>
            <w:r w:rsidR="0039393C" w:rsidRPr="00C630B1">
              <w:rPr>
                <w:b/>
              </w:rPr>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596AF0FB" w:rsidR="00A61E3D" w:rsidRPr="00BB386C" w:rsidRDefault="004C7F05" w:rsidP="00E6394E">
            <w:pPr>
              <w:keepNext/>
              <w:keepLines/>
              <w:autoSpaceDE w:val="0"/>
              <w:autoSpaceDN w:val="0"/>
              <w:adjustRightInd w:val="0"/>
              <w:jc w:val="both"/>
              <w:rPr>
                <w:bCs/>
              </w:rPr>
            </w:pPr>
            <w:r>
              <w:t>30 041 647 (Тридцать миллионов сорок одна тысяча шестьсот сорок семь) рублей 07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8B4C835" w:rsidR="00F4413F" w:rsidRPr="005E5BC2" w:rsidRDefault="001F3BC4" w:rsidP="004C7F05">
            <w:pPr>
              <w:keepNext/>
              <w:keepLines/>
              <w:jc w:val="both"/>
              <w:rPr>
                <w:color w:val="FF0000"/>
              </w:rPr>
            </w:pPr>
            <w:r w:rsidRPr="00B05FFB">
              <w:t>Путем перечисл</w:t>
            </w:r>
            <w:r w:rsidR="00B05FFB" w:rsidRPr="00B05FFB">
              <w:t xml:space="preserve">ения денежных средств в размере </w:t>
            </w:r>
            <w:r w:rsidR="004C7F05">
              <w:t>600</w:t>
            </w:r>
            <w:r w:rsidR="00606FA6">
              <w:t xml:space="preserve"> </w:t>
            </w:r>
            <w:r w:rsidR="00441692">
              <w:t>000</w:t>
            </w:r>
            <w:r w:rsidR="00B05FFB" w:rsidRPr="00B05FFB">
              <w:t xml:space="preserve"> (</w:t>
            </w:r>
            <w:r w:rsidR="004C7F05">
              <w:t>Шес</w:t>
            </w:r>
            <w:r w:rsidR="00DB0229">
              <w:t xml:space="preserve">тьсот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4C470120"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4C7F05">
              <w:rPr>
                <w:bCs/>
              </w:rPr>
              <w:t xml:space="preserve"> не менее 24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F0070F1" w:rsidR="00406D41" w:rsidRPr="0039393C" w:rsidRDefault="00406D41" w:rsidP="00406D41">
            <w:pPr>
              <w:widowControl w:val="0"/>
              <w:contextualSpacing/>
              <w:jc w:val="both"/>
              <w:rPr>
                <w:bCs/>
              </w:rPr>
            </w:pPr>
            <w:r w:rsidRPr="0039393C">
              <w:rPr>
                <w:b/>
                <w:bCs/>
              </w:rPr>
              <w:t>7.2.</w:t>
            </w:r>
            <w:r>
              <w:rPr>
                <w:bCs/>
              </w:rPr>
              <w:t xml:space="preserve"> Производи</w:t>
            </w:r>
            <w:r w:rsidR="00DB0229">
              <w:rPr>
                <w:bCs/>
              </w:rPr>
              <w:t xml:space="preserve">тель работ (прораб) – не менее </w:t>
            </w:r>
            <w:r w:rsidR="00F246BF">
              <w:rPr>
                <w:bCs/>
              </w:rPr>
              <w:t>4</w:t>
            </w:r>
            <w:r>
              <w:rPr>
                <w:bCs/>
              </w:rPr>
              <w:t xml:space="preserve"> чел.</w:t>
            </w:r>
            <w:r w:rsidRPr="0039393C">
              <w:rPr>
                <w:bCs/>
              </w:rPr>
              <w:t>;</w:t>
            </w:r>
          </w:p>
          <w:p w14:paraId="1BFC05F1" w14:textId="104D46D3" w:rsidR="00406D41" w:rsidRPr="00CE26C1" w:rsidRDefault="00406D41" w:rsidP="00406D41">
            <w:pPr>
              <w:widowControl w:val="0"/>
              <w:contextualSpacing/>
              <w:jc w:val="both"/>
              <w:rPr>
                <w:bCs/>
              </w:rPr>
            </w:pPr>
            <w:r w:rsidRPr="0039393C">
              <w:rPr>
                <w:b/>
                <w:bCs/>
              </w:rPr>
              <w:t>7.3.</w:t>
            </w:r>
            <w:r w:rsidRPr="0039393C">
              <w:rPr>
                <w:bCs/>
              </w:rPr>
              <w:t xml:space="preserve"> </w:t>
            </w:r>
            <w:r w:rsidR="004C7F05">
              <w:rPr>
                <w:bCs/>
              </w:rPr>
              <w:t>Начальник участка - не менее 2</w:t>
            </w:r>
            <w:r>
              <w:rPr>
                <w:bCs/>
              </w:rPr>
              <w:t xml:space="preserve"> чел.</w:t>
            </w:r>
            <w:r w:rsidRPr="00CE26C1">
              <w:rPr>
                <w:bCs/>
              </w:rPr>
              <w:t>;</w:t>
            </w:r>
          </w:p>
          <w:p w14:paraId="2E7CC1B9" w14:textId="2FB16B72"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w:t>
            </w:r>
            <w:r w:rsidR="004C7F05">
              <w:rPr>
                <w:bCs/>
              </w:rPr>
              <w:t>ехнологических трубопроводов – 8</w:t>
            </w:r>
            <w:r w:rsidRPr="00E335B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61D1F61"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4C7F05">
              <w:rPr>
                <w:rFonts w:ascii="Times New Roman" w:hAnsi="Times New Roman"/>
                <w:bCs/>
                <w:sz w:val="20"/>
                <w:szCs w:val="20"/>
              </w:rPr>
              <w:t>Экскаватор – не менее 4</w:t>
            </w:r>
            <w:r w:rsidRPr="00C6387C">
              <w:rPr>
                <w:rFonts w:ascii="Times New Roman" w:hAnsi="Times New Roman"/>
                <w:bCs/>
                <w:sz w:val="20"/>
                <w:szCs w:val="20"/>
              </w:rPr>
              <w:t xml:space="preserve"> единиц</w:t>
            </w:r>
            <w:r w:rsidR="004C7F05">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t>Приложение 1</w:t>
      </w:r>
      <w:bookmarkEnd w:id="351"/>
      <w:bookmarkEnd w:id="352"/>
      <w:r w:rsidRPr="00953AE0">
        <w:rPr>
          <w:b w:val="0"/>
          <w:sz w:val="24"/>
        </w:rPr>
        <w:t xml:space="preserve"> </w:t>
      </w:r>
    </w:p>
    <w:p w14:paraId="30A31716" w14:textId="7714077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4C7F05">
        <w:rPr>
          <w:rFonts w:ascii="Times New Roman" w:eastAsia="Times New Roman" w:hAnsi="Times New Roman"/>
          <w:sz w:val="24"/>
          <w:szCs w:val="20"/>
          <w:lang w:eastAsia="ru-RU"/>
        </w:rPr>
        <w:t>11393</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3AED319"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4C7F05">
        <w:t>11393</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t>Приложение 2</w:t>
      </w:r>
      <w:bookmarkEnd w:id="353"/>
      <w:bookmarkEnd w:id="354"/>
      <w:r w:rsidRPr="00397524">
        <w:rPr>
          <w:b w:val="0"/>
          <w:sz w:val="24"/>
        </w:rPr>
        <w:t xml:space="preserve"> </w:t>
      </w:r>
    </w:p>
    <w:p w14:paraId="7F274C38" w14:textId="3F9A6FF4"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4C7F05">
        <w:rPr>
          <w:rFonts w:ascii="Times New Roman" w:eastAsia="Times New Roman" w:hAnsi="Times New Roman"/>
          <w:sz w:val="24"/>
          <w:szCs w:val="20"/>
          <w:lang w:eastAsia="ru-RU"/>
        </w:rPr>
        <w:t>11393</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72E076B" w:rsidR="004269BE" w:rsidRPr="00F246BF"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4C7F05">
        <w:t>11393</w:t>
      </w:r>
      <w:r w:rsidR="00C6387C">
        <w:t>В</w:t>
      </w:r>
      <w:r w:rsidRPr="00397524">
        <w:t>_</w:t>
      </w:r>
      <w:proofErr w:type="spellStart"/>
      <w:r w:rsidRPr="00397524">
        <w:rPr>
          <w:lang w:val="en-US"/>
        </w:rPr>
        <w:t>tz</w:t>
      </w:r>
      <w:proofErr w:type="spellEnd"/>
    </w:p>
    <w:p w14:paraId="4330FC91" w14:textId="21EBBA0C" w:rsidR="00551ED2" w:rsidRPr="00F246BF"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4C7F05">
        <w:t>11393</w:t>
      </w:r>
      <w:r w:rsidR="00C6387C">
        <w:t>В</w:t>
      </w:r>
      <w:r w:rsidRPr="00397524">
        <w:t>_</w:t>
      </w:r>
      <w:proofErr w:type="spellStart"/>
      <w:r w:rsidR="00E335B0">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082A9F7A"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4C7F05">
        <w:rPr>
          <w:rFonts w:ascii="Times New Roman" w:eastAsia="Times New Roman" w:hAnsi="Times New Roman"/>
          <w:sz w:val="24"/>
          <w:szCs w:val="20"/>
          <w:lang w:eastAsia="ru-RU"/>
        </w:rPr>
        <w:t>11393</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00FAF37"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C7F05">
        <w:t>11393</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4C7F05" w:rsidRDefault="004C7F05">
      <w:r>
        <w:separator/>
      </w:r>
    </w:p>
  </w:endnote>
  <w:endnote w:type="continuationSeparator" w:id="0">
    <w:p w14:paraId="11281A37" w14:textId="77777777" w:rsidR="004C7F05" w:rsidRDefault="004C7F05">
      <w:r>
        <w:continuationSeparator/>
      </w:r>
    </w:p>
  </w:endnote>
  <w:endnote w:type="continuationNotice" w:id="1">
    <w:p w14:paraId="057F2494" w14:textId="77777777" w:rsidR="004C7F05" w:rsidRDefault="004C7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C7F05" w:rsidRPr="009D79BC" w14:paraId="69D70D11" w14:textId="77777777" w:rsidTr="009D79BC">
      <w:tc>
        <w:tcPr>
          <w:tcW w:w="5068" w:type="dxa"/>
        </w:tcPr>
        <w:p w14:paraId="38F09B1A" w14:textId="77777777" w:rsidR="004C7F05" w:rsidRPr="006F3B13" w:rsidRDefault="004C7F05"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C7F05" w:rsidRPr="00167F68" w:rsidRDefault="004C7F0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C04BF">
            <w:rPr>
              <w:b/>
              <w:noProof/>
              <w:spacing w:val="-14"/>
              <w:sz w:val="22"/>
              <w:szCs w:val="22"/>
            </w:rPr>
            <w:t>35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C04BF">
            <w:rPr>
              <w:b/>
              <w:noProof/>
              <w:spacing w:val="-14"/>
              <w:sz w:val="22"/>
              <w:szCs w:val="22"/>
            </w:rPr>
            <w:t>69</w:t>
          </w:r>
          <w:r w:rsidRPr="006F3B13">
            <w:rPr>
              <w:b/>
              <w:spacing w:val="-14"/>
              <w:sz w:val="22"/>
              <w:szCs w:val="22"/>
            </w:rPr>
            <w:fldChar w:fldCharType="end"/>
          </w:r>
        </w:p>
      </w:tc>
    </w:tr>
  </w:tbl>
  <w:p w14:paraId="7A1D3BC9" w14:textId="77777777" w:rsidR="004C7F05" w:rsidRPr="00167F68" w:rsidRDefault="004C7F0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C7F05" w:rsidRDefault="004C7F0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C7F05" w:rsidRDefault="004C7F0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C7F05" w:rsidRDefault="004C7F0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4C7F05" w:rsidRDefault="004C7F05">
      <w:r>
        <w:separator/>
      </w:r>
    </w:p>
  </w:footnote>
  <w:footnote w:type="continuationSeparator" w:id="0">
    <w:p w14:paraId="7C9A2D80" w14:textId="77777777" w:rsidR="004C7F05" w:rsidRDefault="004C7F05">
      <w:r>
        <w:continuationSeparator/>
      </w:r>
    </w:p>
  </w:footnote>
  <w:footnote w:type="continuationNotice" w:id="1">
    <w:p w14:paraId="7851B1CB" w14:textId="77777777" w:rsidR="004C7F05" w:rsidRDefault="004C7F05"/>
  </w:footnote>
  <w:footnote w:id="2">
    <w:p w14:paraId="577B99D9" w14:textId="77777777" w:rsidR="004C7F05" w:rsidRDefault="004C7F0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4C7F05" w:rsidRPr="00F32259" w:rsidRDefault="004C7F0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C7F05" w:rsidRPr="00F32259" w:rsidRDefault="004C7F0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C7F05" w:rsidRPr="00F32259" w:rsidRDefault="004C7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C7F05" w:rsidRDefault="004C7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C7F05" w:rsidRPr="00F32259" w:rsidRDefault="004C7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C7F05" w:rsidRPr="00F32259" w:rsidRDefault="004C7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C7F05" w:rsidRPr="00F32259" w:rsidRDefault="004C7F0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C7F05" w:rsidRPr="00F32259" w:rsidRDefault="004C7F0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C7F05" w:rsidRDefault="004C7F0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C7F05" w:rsidRPr="00372FF8" w:rsidRDefault="004C7F0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C7F05" w:rsidRPr="00F32259" w:rsidRDefault="004C7F0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C7F05" w:rsidRDefault="004C7F05" w:rsidP="009F3485">
      <w:pPr>
        <w:pStyle w:val="Style1"/>
        <w:widowControl/>
        <w:spacing w:line="240" w:lineRule="auto"/>
        <w:ind w:firstLine="696"/>
      </w:pPr>
    </w:p>
  </w:footnote>
  <w:footnote w:id="4">
    <w:p w14:paraId="7B047166" w14:textId="00C4DF43" w:rsidR="004C7F05" w:rsidRPr="00B6305C" w:rsidRDefault="004C7F05"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C7F05" w:rsidRDefault="004C7F05" w:rsidP="000E2241">
      <w:pPr>
        <w:pStyle w:val="a6"/>
      </w:pPr>
      <w:r>
        <w:rPr>
          <w:rStyle w:val="a7"/>
        </w:rPr>
        <w:footnoteRef/>
      </w:r>
      <w:r>
        <w:t xml:space="preserve"> Сведения представляются за последние 3 (три) года.</w:t>
      </w:r>
    </w:p>
  </w:footnote>
  <w:footnote w:id="6">
    <w:p w14:paraId="52BE4380" w14:textId="77777777" w:rsidR="004C7F05" w:rsidRPr="00DB6B96" w:rsidRDefault="004C7F0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C7F05" w:rsidRDefault="004C7F05" w:rsidP="008E4EDE">
      <w:pPr>
        <w:pStyle w:val="a1"/>
        <w:numPr>
          <w:ilvl w:val="0"/>
          <w:numId w:val="0"/>
        </w:numPr>
        <w:ind w:left="142"/>
        <w:rPr>
          <w:sz w:val="16"/>
          <w:szCs w:val="16"/>
        </w:rPr>
      </w:pPr>
    </w:p>
    <w:p w14:paraId="245E8BEA" w14:textId="77777777" w:rsidR="004C7F05" w:rsidRPr="008E4EDE" w:rsidRDefault="004C7F0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C7F05" w:rsidRPr="008E4EDE" w:rsidRDefault="004C7F0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C7F05" w:rsidRPr="00DB6B96" w:rsidRDefault="004C7F0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C7F05" w:rsidRPr="0039341F" w:rsidRDefault="004C7F0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C7F05" w:rsidRPr="00AF3E94" w:rsidRDefault="004C7F05" w:rsidP="009F3485">
      <w:pPr>
        <w:pStyle w:val="a8"/>
        <w:ind w:left="240" w:hanging="240"/>
      </w:pPr>
    </w:p>
  </w:footnote>
  <w:footnote w:id="8">
    <w:p w14:paraId="47B89DAD" w14:textId="77777777" w:rsidR="004C7F05" w:rsidRDefault="004C7F0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C7F05" w:rsidRDefault="004C7F05"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C7F05" w:rsidRDefault="004C7F05" w:rsidP="009C0D97">
      <w:pPr>
        <w:pStyle w:val="a6"/>
      </w:pPr>
      <w:r>
        <w:rPr>
          <w:rStyle w:val="a7"/>
        </w:rPr>
        <w:footnoteRef/>
      </w:r>
      <w:r>
        <w:t xml:space="preserve"> </w:t>
      </w:r>
      <w:r w:rsidRPr="000D1FBA">
        <w:t>Согласовывается с Заказчиком</w:t>
      </w:r>
    </w:p>
  </w:footnote>
  <w:footnote w:id="11">
    <w:p w14:paraId="2340F5AB" w14:textId="77777777" w:rsidR="004C7F05" w:rsidRDefault="004C7F0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1E32D11" w:rsidR="004C7F05" w:rsidRPr="00C6387C" w:rsidRDefault="004C7F05" w:rsidP="007173E2">
    <w:pPr>
      <w:pStyle w:val="ac"/>
    </w:pPr>
    <w:r>
      <w:t xml:space="preserve">Документация о запросе предложений                                                                     № </w:t>
    </w:r>
    <w:r>
      <w:rPr>
        <w:szCs w:val="24"/>
      </w:rPr>
      <w:t>11393/В</w:t>
    </w:r>
  </w:p>
  <w:p w14:paraId="776EDF53" w14:textId="77777777" w:rsidR="004C7F05" w:rsidRDefault="004C7F0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C7F05" w:rsidRDefault="004C7F0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C7F05" w:rsidRDefault="004C7F05"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C7F05" w:rsidRPr="00CF5E92" w:rsidRDefault="004C7F0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C7F05" w:rsidRDefault="004C7F0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C7F05" w:rsidRDefault="004C7F0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457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0B9"/>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68F"/>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19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05"/>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7E5"/>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4"/>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4BF"/>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0B1"/>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826"/>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2C06"/>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229"/>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46BF"/>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D9F"/>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CFEC3-B765-4A5D-A263-4FCB2FC15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69</Pages>
  <Words>18180</Words>
  <Characters>139548</Characters>
  <Application>Microsoft Office Word</Application>
  <DocSecurity>0</DocSecurity>
  <Lines>1162</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157414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175</cp:revision>
  <cp:lastPrinted>2016-07-11T06:41:00Z</cp:lastPrinted>
  <dcterms:created xsi:type="dcterms:W3CDTF">2016-10-13T07:14:00Z</dcterms:created>
  <dcterms:modified xsi:type="dcterms:W3CDTF">2017-03-31T10:53:00Z</dcterms:modified>
</cp:coreProperties>
</file>