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132A1D4"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F30D85">
        <w:rPr>
          <w:b/>
          <w:sz w:val="28"/>
          <w:szCs w:val="28"/>
        </w:rPr>
        <w:t>3</w:t>
      </w:r>
      <w:r w:rsidR="0039393C">
        <w:rPr>
          <w:b/>
          <w:sz w:val="28"/>
          <w:szCs w:val="28"/>
        </w:rPr>
        <w:t xml:space="preserve"> объектов</w:t>
      </w:r>
    </w:p>
    <w:p w14:paraId="5ED184A1" w14:textId="12DD93EF" w:rsidR="007677FE" w:rsidRPr="00953AE0" w:rsidRDefault="00E26FC7" w:rsidP="007B0630">
      <w:pPr>
        <w:jc w:val="center"/>
        <w:rPr>
          <w:b/>
          <w:sz w:val="28"/>
          <w:szCs w:val="28"/>
        </w:rPr>
      </w:pPr>
      <w:r w:rsidRPr="00BB386C">
        <w:rPr>
          <w:b/>
          <w:sz w:val="28"/>
          <w:szCs w:val="28"/>
        </w:rPr>
        <w:t xml:space="preserve"> </w:t>
      </w:r>
      <w:r w:rsidR="007677FE" w:rsidRPr="00BB386C">
        <w:rPr>
          <w:b/>
          <w:sz w:val="28"/>
          <w:szCs w:val="28"/>
        </w:rPr>
        <w:t>(Закупка только для субъектов малого и среднего предпринимательства)</w:t>
      </w:r>
    </w:p>
    <w:p w14:paraId="26DA0B40" w14:textId="3D626DB9"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F30D85">
        <w:rPr>
          <w:b/>
          <w:sz w:val="28"/>
          <w:szCs w:val="28"/>
        </w:rPr>
        <w:t>11422/В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7B90758"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F30D85">
        <w:rPr>
          <w:sz w:val="24"/>
          <w:szCs w:val="24"/>
        </w:rPr>
        <w:t>3</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39382A2" w:rsidR="005812DF" w:rsidRPr="00813A71" w:rsidRDefault="00F30D85" w:rsidP="00B23904">
            <w:pPr>
              <w:jc w:val="both"/>
              <w:rPr>
                <w:sz w:val="24"/>
                <w:szCs w:val="24"/>
              </w:rPr>
            </w:pPr>
            <w:r>
              <w:rPr>
                <w:sz w:val="24"/>
                <w:szCs w:val="24"/>
              </w:rPr>
              <w:t>38 830 707 (Тридцать восемь миллионов восемьсот тридцать тысяч семьсот семь</w:t>
            </w:r>
            <w:r w:rsidR="00B23904">
              <w:rPr>
                <w:sz w:val="24"/>
                <w:szCs w:val="24"/>
              </w:rPr>
              <w:t>)</w:t>
            </w:r>
            <w:r>
              <w:rPr>
                <w:sz w:val="24"/>
                <w:szCs w:val="24"/>
              </w:rPr>
              <w:t xml:space="preserve"> рублей 84 копейки</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23904"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B23904" w:rsidP="0001711D">
            <w:pPr>
              <w:jc w:val="both"/>
              <w:rPr>
                <w:sz w:val="24"/>
                <w:szCs w:val="24"/>
              </w:rPr>
            </w:pPr>
            <w:hyperlink r:id="rId9" w:history="1">
              <w:r w:rsidR="0005719A" w:rsidRPr="00397524">
                <w:rPr>
                  <w:sz w:val="24"/>
                  <w:szCs w:val="24"/>
                </w:rPr>
                <w:t>www.oaomoek.ru</w:t>
              </w:r>
            </w:hyperlink>
          </w:p>
          <w:p w14:paraId="4F589B88" w14:textId="77777777" w:rsidR="0005719A" w:rsidRDefault="00B23904"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1" w:history="1">
              <w:r w:rsidRPr="00D1710B">
                <w:rPr>
                  <w:sz w:val="24"/>
                  <w:szCs w:val="24"/>
                </w:rPr>
                <w:t>www.gazneftetorg.ru</w:t>
              </w:r>
            </w:hyperlink>
            <w:r w:rsidRPr="00D1710B">
              <w:rPr>
                <w:sz w:val="24"/>
                <w:szCs w:val="24"/>
              </w:rPr>
              <w:t>,</w:t>
            </w:r>
          </w:p>
          <w:p w14:paraId="5CE0413F" w14:textId="2E103BFA" w:rsidR="00347D83" w:rsidRPr="00D1710B" w:rsidRDefault="00347D83" w:rsidP="00347D83">
            <w:pPr>
              <w:jc w:val="both"/>
              <w:rPr>
                <w:sz w:val="24"/>
                <w:szCs w:val="24"/>
              </w:rPr>
            </w:pPr>
            <w:r w:rsidRPr="00D1710B">
              <w:rPr>
                <w:sz w:val="24"/>
                <w:szCs w:val="24"/>
              </w:rPr>
              <w:t xml:space="preserve">с </w:t>
            </w:r>
            <w:r w:rsidR="00471BFA">
              <w:rPr>
                <w:sz w:val="24"/>
                <w:szCs w:val="24"/>
              </w:rPr>
              <w:t>30</w:t>
            </w:r>
            <w:r w:rsidR="0039393C">
              <w:rPr>
                <w:sz w:val="24"/>
                <w:szCs w:val="24"/>
              </w:rPr>
              <w:t xml:space="preserve"> марта</w:t>
            </w:r>
            <w:r w:rsidRPr="00D1710B">
              <w:rPr>
                <w:sz w:val="24"/>
                <w:szCs w:val="24"/>
              </w:rPr>
              <w:t xml:space="preserve"> 2017 г.</w:t>
            </w:r>
          </w:p>
          <w:p w14:paraId="789A0619" w14:textId="5158E2C6" w:rsidR="00F30DE6" w:rsidRPr="00B93EEB" w:rsidRDefault="00347D83" w:rsidP="00347D83">
            <w:pPr>
              <w:jc w:val="both"/>
              <w:rPr>
                <w:sz w:val="24"/>
                <w:szCs w:val="24"/>
              </w:rPr>
            </w:pPr>
            <w:r w:rsidRPr="00D1710B">
              <w:rPr>
                <w:sz w:val="24"/>
                <w:szCs w:val="24"/>
              </w:rPr>
              <w:t xml:space="preserve">до 14:00 (время московское) </w:t>
            </w:r>
            <w:r w:rsidR="00653388">
              <w:rPr>
                <w:sz w:val="24"/>
                <w:szCs w:val="24"/>
              </w:rPr>
              <w:t>0</w:t>
            </w:r>
            <w:r w:rsidR="00471BFA">
              <w:rPr>
                <w:sz w:val="24"/>
                <w:szCs w:val="24"/>
              </w:rPr>
              <w:t>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60600F03"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471BFA">
              <w:rPr>
                <w:sz w:val="24"/>
                <w:szCs w:val="24"/>
              </w:rPr>
              <w:t>30</w:t>
            </w:r>
            <w:r w:rsidR="0039393C">
              <w:rPr>
                <w:sz w:val="24"/>
                <w:szCs w:val="24"/>
              </w:rPr>
              <w:t xml:space="preserve"> марта</w:t>
            </w:r>
            <w:r w:rsidRPr="00D1710B">
              <w:rPr>
                <w:sz w:val="24"/>
                <w:szCs w:val="24"/>
              </w:rPr>
              <w:t xml:space="preserve"> 2017 г.</w:t>
            </w:r>
          </w:p>
          <w:p w14:paraId="2346E19C" w14:textId="48DFAA3B" w:rsidR="00F30DE6" w:rsidRPr="00B93EEB" w:rsidRDefault="00347D83" w:rsidP="00471BFA">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653388">
              <w:rPr>
                <w:sz w:val="24"/>
                <w:szCs w:val="24"/>
              </w:rPr>
              <w:t>0</w:t>
            </w:r>
            <w:r w:rsidR="00471BFA">
              <w:rPr>
                <w:sz w:val="24"/>
                <w:szCs w:val="24"/>
              </w:rPr>
              <w:t>4</w:t>
            </w:r>
            <w:r w:rsidR="00653388">
              <w:rPr>
                <w:sz w:val="24"/>
                <w:szCs w:val="24"/>
              </w:rPr>
              <w:t xml:space="preserve"> 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1330BDD7" w:rsidR="00347D83" w:rsidRPr="00D1710B" w:rsidRDefault="0039393C" w:rsidP="00347D83">
            <w:pPr>
              <w:jc w:val="both"/>
              <w:rPr>
                <w:sz w:val="24"/>
                <w:szCs w:val="24"/>
              </w:rPr>
            </w:pPr>
            <w:r>
              <w:rPr>
                <w:sz w:val="24"/>
                <w:szCs w:val="24"/>
              </w:rPr>
              <w:t>0</w:t>
            </w:r>
            <w:r w:rsidR="00471BFA">
              <w:rPr>
                <w:sz w:val="24"/>
                <w:szCs w:val="24"/>
              </w:rPr>
              <w:t>7</w:t>
            </w:r>
            <w:r>
              <w:rPr>
                <w:sz w:val="24"/>
                <w:szCs w:val="24"/>
              </w:rPr>
              <w:t xml:space="preserve"> апреля</w:t>
            </w:r>
            <w:r w:rsidR="00653388">
              <w:rPr>
                <w:sz w:val="24"/>
                <w:szCs w:val="24"/>
              </w:rPr>
              <w:t xml:space="preserve"> 2017 г., </w:t>
            </w:r>
            <w:r w:rsidR="00347D83" w:rsidRPr="00D1710B">
              <w:rPr>
                <w:sz w:val="24"/>
                <w:szCs w:val="24"/>
              </w:rPr>
              <w:t>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2"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EE1946E" w:rsidR="006506E0" w:rsidRPr="00B93EEB" w:rsidRDefault="00347D83" w:rsidP="00471BFA">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471BFA">
              <w:rPr>
                <w:sz w:val="24"/>
                <w:szCs w:val="24"/>
              </w:rPr>
              <w:t>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E26FC7">
        <w:trPr>
          <w:gridBefore w:val="1"/>
          <w:gridAfter w:val="1"/>
          <w:wBefore w:w="4636" w:type="dxa"/>
          <w:wAfter w:w="42" w:type="dxa"/>
          <w:trHeight w:val="328"/>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0FA9111A"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F30D85">
        <w:rPr>
          <w:b/>
          <w:sz w:val="24"/>
          <w:szCs w:val="24"/>
        </w:rPr>
        <w:t>3</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59195238"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F30D85">
        <w:rPr>
          <w:b/>
          <w:sz w:val="24"/>
          <w:szCs w:val="24"/>
        </w:rPr>
        <w:t>11422/В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23904">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B23904">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B23904">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B23904">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B23904">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B23904">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B23904">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B23904">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B23904">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B23904">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B23904">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B23904">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B23904">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B23904">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B23904">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B23904">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B23904">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B23904">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B23904">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B23904">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B23904">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B23904">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B23904">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B23904">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B23904">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B23904">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B23904">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B23904">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B23904">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B23904">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B23904">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B23904">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B23904">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B23904">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B23904">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B23904"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B23904">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B23904">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B23904">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B23904">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B23904">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B23904">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B23904">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B23904">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B23904">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B23904">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B23904">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B23904">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B23904">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B23904">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B23904">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B23904">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B23904">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B23904">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B23904">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B23904">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B23904">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BCB66E0" w14:textId="77777777" w:rsidR="00E26FC7" w:rsidRDefault="00E6440C" w:rsidP="00E26FC7">
            <w:pPr>
              <w:keepNext/>
              <w:keepLines/>
              <w:autoSpaceDE w:val="0"/>
              <w:autoSpaceDN w:val="0"/>
              <w:adjustRightInd w:val="0"/>
              <w:jc w:val="both"/>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E669043" w14:textId="33F1BC23" w:rsidR="00E26FC7" w:rsidRPr="00B6050A" w:rsidRDefault="00E26FC7" w:rsidP="00E26FC7">
            <w:pPr>
              <w:keepNext/>
              <w:keepLines/>
              <w:autoSpaceDE w:val="0"/>
              <w:autoSpaceDN w:val="0"/>
              <w:adjustRightInd w:val="0"/>
              <w:jc w:val="both"/>
            </w:pPr>
            <w:r w:rsidRPr="00B6050A">
              <w:t>24-99 – Проскурина Наталья Сергеевна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B23904" w:rsidP="007D7DAC">
            <w:pPr>
              <w:keepNext/>
              <w:keepLines/>
              <w:autoSpaceDE w:val="0"/>
              <w:autoSpaceDN w:val="0"/>
              <w:adjustRightInd w:val="0"/>
              <w:jc w:val="both"/>
            </w:pPr>
            <w:hyperlink r:id="rId17"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3106943" w:rsidR="0039393C" w:rsidRPr="00953AE0" w:rsidRDefault="0039393C" w:rsidP="00E26FC7">
            <w:pPr>
              <w:keepNext/>
              <w:keepLines/>
              <w:autoSpaceDE w:val="0"/>
              <w:autoSpaceDN w:val="0"/>
              <w:adjustRightInd w:val="0"/>
              <w:jc w:val="both"/>
            </w:pPr>
            <w:r w:rsidRPr="00BA3C88">
              <w:t>+ 7 (495) 587-77-88</w:t>
            </w:r>
            <w:r>
              <w:t xml:space="preserve"> доб. </w:t>
            </w:r>
            <w:r w:rsidR="00E26FC7">
              <w:t>24-99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B23904" w:rsidP="00F4413F">
            <w:pPr>
              <w:keepNext/>
              <w:keepLines/>
              <w:autoSpaceDE w:val="0"/>
              <w:autoSpaceDN w:val="0"/>
              <w:adjustRightInd w:val="0"/>
              <w:jc w:val="both"/>
            </w:pPr>
            <w:hyperlink r:id="rId18"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CE68AB1" w:rsidR="004D4ECA" w:rsidRPr="00953AE0" w:rsidRDefault="003B1FA6" w:rsidP="00C6387C">
            <w:pPr>
              <w:ind w:left="-25"/>
              <w:jc w:val="both"/>
            </w:pPr>
            <w:r w:rsidRPr="00953AE0">
              <w:t>№</w:t>
            </w:r>
            <w:r w:rsidR="00953AE0" w:rsidRPr="00953AE0">
              <w:t xml:space="preserve"> </w:t>
            </w:r>
            <w:r w:rsidR="00F30D85">
              <w:t>11422/В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0DCB345" w:rsidR="00F4413F" w:rsidRPr="00953AE0" w:rsidRDefault="00D3124B" w:rsidP="0039393C">
            <w:pPr>
              <w:ind w:left="-25"/>
              <w:jc w:val="both"/>
            </w:pPr>
            <w:r w:rsidRPr="00953AE0">
              <w:t>№</w:t>
            </w:r>
            <w:r w:rsidR="00953AE0" w:rsidRPr="00953AE0">
              <w:t xml:space="preserve"> </w:t>
            </w:r>
            <w:r w:rsidR="00F30D85">
              <w:t>11422/В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356C084"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F30D85">
              <w:t>3</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66AC4A6D" w:rsidR="00810696" w:rsidRPr="00C0052D" w:rsidRDefault="00810696" w:rsidP="00F30D85">
            <w:pPr>
              <w:keepNext/>
              <w:keepLines/>
              <w:autoSpaceDE w:val="0"/>
              <w:autoSpaceDN w:val="0"/>
              <w:adjustRightInd w:val="0"/>
              <w:jc w:val="both"/>
            </w:pPr>
            <w:r w:rsidRPr="00953AE0">
              <w:t>Срок око</w:t>
            </w:r>
            <w:r w:rsidR="00305A81" w:rsidRPr="00953AE0">
              <w:t xml:space="preserve">нчания выполнения </w:t>
            </w:r>
            <w:r w:rsidR="00305A81" w:rsidRPr="0055268F">
              <w:t xml:space="preserve">работ – </w:t>
            </w:r>
            <w:r w:rsidR="0039393C" w:rsidRPr="0055268F">
              <w:t>01</w:t>
            </w:r>
            <w:r w:rsidR="00C0052D" w:rsidRPr="0055268F">
              <w:t>.</w:t>
            </w:r>
            <w:r w:rsidR="00F30D85">
              <w:t>05</w:t>
            </w:r>
            <w:r w:rsidR="00953AE0" w:rsidRPr="0055268F">
              <w:t>.</w:t>
            </w:r>
            <w:r w:rsidR="00C6387C" w:rsidRPr="0055268F">
              <w:t>20</w:t>
            </w:r>
            <w:r w:rsidR="00953AE0" w:rsidRPr="0055268F">
              <w:t>1</w:t>
            </w:r>
            <w:r w:rsidR="00F30D85">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4DC260B" w14:textId="2C2B4072" w:rsidR="00E26FC7" w:rsidRPr="00653388" w:rsidRDefault="00F30D85" w:rsidP="00E6394E">
            <w:pPr>
              <w:keepNext/>
              <w:keepLines/>
              <w:autoSpaceDE w:val="0"/>
              <w:autoSpaceDN w:val="0"/>
              <w:adjustRightInd w:val="0"/>
            </w:pPr>
            <w:r w:rsidRPr="00F30D85">
              <w:t>38 830 707 (Тридцать восемь миллионов восемьсот три</w:t>
            </w:r>
            <w:r w:rsidR="00B23904">
              <w:t>дцать тысяч семьсот семь)</w:t>
            </w:r>
            <w:bookmarkStart w:id="219" w:name="_GoBack"/>
            <w:bookmarkEnd w:id="219"/>
            <w:r w:rsidR="00B23904">
              <w:t xml:space="preserve"> рублей</w:t>
            </w:r>
            <w:r w:rsidRPr="00F30D85">
              <w:t xml:space="preserve"> 84 копейки</w:t>
            </w:r>
            <w:r w:rsidR="00223D9D" w:rsidRPr="00653388">
              <w:t xml:space="preserve">, без учета НДС. </w:t>
            </w:r>
          </w:p>
          <w:p w14:paraId="06F5C462" w14:textId="5A442F6C" w:rsidR="00E6394E" w:rsidRPr="00653388" w:rsidRDefault="00E6394E" w:rsidP="00E6394E">
            <w:pPr>
              <w:keepNext/>
              <w:keepLines/>
              <w:autoSpaceDE w:val="0"/>
              <w:autoSpaceDN w:val="0"/>
              <w:adjustRightInd w:val="0"/>
            </w:pPr>
            <w:r w:rsidRPr="00653388">
              <w:t>Цена указана с учетом затрат по уплате налогов, сборов и других обязательных 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9FC08AD" w:rsidR="00F4413F" w:rsidRPr="005E5BC2" w:rsidRDefault="001F3BC4" w:rsidP="00F30D85">
            <w:pPr>
              <w:keepNext/>
              <w:keepLines/>
              <w:jc w:val="both"/>
              <w:rPr>
                <w:color w:val="FF0000"/>
              </w:rPr>
            </w:pPr>
            <w:r w:rsidRPr="00B05FFB">
              <w:t>Путем перечисл</w:t>
            </w:r>
            <w:r w:rsidR="00B05FFB" w:rsidRPr="00B05FFB">
              <w:t xml:space="preserve">ения денежных средств в размере </w:t>
            </w:r>
            <w:r w:rsidR="00F30D85">
              <w:t>776 614 (Семьсот семьдесят шесть тысяч шестьсот четырнадцать) рублей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B1861F7"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w:t>
            </w:r>
            <w:r w:rsidR="00E26FC7">
              <w:rPr>
                <w:rFonts w:ascii="Times New Roman" w:hAnsi="Times New Roman"/>
                <w:sz w:val="20"/>
                <w:szCs w:val="20"/>
              </w:rPr>
              <w:t>,</w:t>
            </w:r>
            <w:r w:rsidR="00396DC2">
              <w:rPr>
                <w:rFonts w:ascii="Times New Roman" w:hAnsi="Times New Roman"/>
                <w:sz w:val="20"/>
                <w:szCs w:val="20"/>
              </w:rPr>
              <w:t xml:space="preserve">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37F058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F96A11">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35AE4E74"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F30D85">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618EF51D" w:rsidR="00406D41" w:rsidRPr="00CE26C1" w:rsidRDefault="00406D41" w:rsidP="00406D41">
            <w:pPr>
              <w:widowControl w:val="0"/>
              <w:contextualSpacing/>
              <w:jc w:val="both"/>
              <w:rPr>
                <w:bCs/>
              </w:rPr>
            </w:pPr>
            <w:r w:rsidRPr="00E26FC7">
              <w:rPr>
                <w:b/>
                <w:bCs/>
              </w:rPr>
              <w:t>7.4.</w:t>
            </w:r>
            <w:r w:rsidRPr="00732DFA">
              <w:rPr>
                <w:bCs/>
                <w:color w:val="000000"/>
                <w:sz w:val="22"/>
                <w:szCs w:val="22"/>
                <w:lang w:eastAsia="ar-SA"/>
              </w:rPr>
              <w:t xml:space="preserve"> </w:t>
            </w:r>
            <w:r w:rsidRPr="00E26FC7">
              <w:rPr>
                <w:bCs/>
              </w:rPr>
              <w:t xml:space="preserve">Монтажник технологических трубопроводов – </w:t>
            </w:r>
            <w:r w:rsidR="00E26FC7">
              <w:rPr>
                <w:bCs/>
              </w:rPr>
              <w:t xml:space="preserve">не менее </w:t>
            </w:r>
            <w:r w:rsidR="00F30D85">
              <w:rPr>
                <w:bCs/>
              </w:rPr>
              <w:t>6</w:t>
            </w:r>
            <w:r w:rsidRPr="00E26FC7">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7C38E075"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w:t>
            </w:r>
            <w:r w:rsidR="00E26FC7">
              <w:rPr>
                <w:rFonts w:eastAsia="Calibri"/>
                <w:bCs/>
                <w:sz w:val="20"/>
                <w:lang w:eastAsia="en-US"/>
              </w:rPr>
              <w:t>.</w:t>
            </w:r>
            <w:r w:rsidRPr="00C6387C">
              <w:rPr>
                <w:rFonts w:eastAsia="Calibri"/>
                <w:bCs/>
                <w:sz w:val="20"/>
                <w:lang w:eastAsia="en-US"/>
              </w:rPr>
              <w:t>;</w:t>
            </w:r>
          </w:p>
          <w:p w14:paraId="2D56F4D1" w14:textId="5BE13FEC"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F30D85">
              <w:rPr>
                <w:rFonts w:ascii="Times New Roman" w:hAnsi="Times New Roman"/>
                <w:bCs/>
                <w:sz w:val="20"/>
                <w:szCs w:val="20"/>
              </w:rPr>
              <w:t>3</w:t>
            </w:r>
            <w:r w:rsidRPr="00C6387C">
              <w:rPr>
                <w:rFonts w:ascii="Times New Roman" w:hAnsi="Times New Roman"/>
                <w:bCs/>
                <w:sz w:val="20"/>
                <w:szCs w:val="20"/>
              </w:rPr>
              <w:t xml:space="preserve"> ед</w:t>
            </w:r>
            <w:r w:rsidR="00E26FC7">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0A808F7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E26FC7" w:rsidRDefault="00B05F26" w:rsidP="00E26FC7">
            <w:pPr>
              <w:keepNext/>
              <w:keepLines/>
              <w:jc w:val="both"/>
            </w:pPr>
            <w:r w:rsidRPr="00E26FC7">
              <w:t>Документы</w:t>
            </w:r>
            <w:r w:rsidR="00397325" w:rsidRPr="00E26FC7">
              <w:t>,</w:t>
            </w:r>
            <w:r w:rsidRPr="00E26FC7">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36B1A447"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w:t>
            </w:r>
            <w:r w:rsidR="00F96A11">
              <w:rPr>
                <w:rFonts w:ascii="Times New Roman" w:hAnsi="Times New Roman"/>
                <w:sz w:val="20"/>
                <w:szCs w:val="20"/>
              </w:rPr>
              <w:t xml:space="preserve">и среднего предпринимательства </w:t>
            </w:r>
            <w:r w:rsidR="00B05F26" w:rsidRPr="005E5BC2">
              <w:rPr>
                <w:rFonts w:ascii="Times New Roman" w:hAnsi="Times New Roman"/>
                <w:sz w:val="20"/>
                <w:szCs w:val="20"/>
              </w:rPr>
              <w:t xml:space="preserve">(Форма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2F5AE94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F30D85">
        <w:rPr>
          <w:rFonts w:ascii="Times New Roman" w:eastAsia="Times New Roman" w:hAnsi="Times New Roman"/>
          <w:sz w:val="24"/>
          <w:szCs w:val="20"/>
          <w:lang w:eastAsia="ru-RU"/>
        </w:rPr>
        <w:t>11422/В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82EBD61"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F30D85">
        <w:t>11422</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7E431D1E"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F30D85">
        <w:rPr>
          <w:rFonts w:ascii="Times New Roman" w:eastAsia="Times New Roman" w:hAnsi="Times New Roman"/>
          <w:sz w:val="24"/>
          <w:szCs w:val="20"/>
          <w:lang w:eastAsia="ru-RU"/>
        </w:rPr>
        <w:t>11422/В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00DCE766"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F30D85">
        <w:t>11422</w:t>
      </w:r>
      <w:r w:rsidRPr="00397524">
        <w:t>_</w:t>
      </w:r>
      <w:r w:rsidRPr="00397524">
        <w:rPr>
          <w:lang w:val="en-US"/>
        </w:rPr>
        <w:t>tz</w:t>
      </w:r>
    </w:p>
    <w:p w14:paraId="4330FC91" w14:textId="360F7C58"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F30D85">
        <w:t>11422</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5A862905"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F30D85">
        <w:rPr>
          <w:rFonts w:ascii="Times New Roman" w:eastAsia="Times New Roman" w:hAnsi="Times New Roman"/>
          <w:sz w:val="24"/>
          <w:szCs w:val="20"/>
          <w:lang w:eastAsia="ru-RU"/>
        </w:rPr>
        <w:t>11422/В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25B7E06"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F30D85">
        <w:t>11422</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4544AE2B"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23904">
            <w:rPr>
              <w:b/>
              <w:noProof/>
              <w:spacing w:val="-14"/>
              <w:sz w:val="22"/>
              <w:szCs w:val="22"/>
            </w:rPr>
            <w:t>35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23904">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2C562E76" w:rsidR="00443268" w:rsidRPr="00C6387C" w:rsidRDefault="00443268" w:rsidP="007173E2">
    <w:pPr>
      <w:pStyle w:val="ac"/>
    </w:pPr>
    <w:r>
      <w:t xml:space="preserve">Документация о запросе предложений                                                                     № </w:t>
    </w:r>
    <w:r w:rsidR="00F30D85">
      <w:rPr>
        <w:szCs w:val="24"/>
      </w:rPr>
      <w:t>11422/В</w:t>
    </w:r>
  </w:p>
  <w:p w14:paraId="776EDF53" w14:textId="77777777" w:rsidR="00443268" w:rsidRDefault="004432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8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CF7"/>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BF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68F"/>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388"/>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3904"/>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6FC7"/>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85"/>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A11"/>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3E4"/>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F126701"/>
  <w15:docId w15:val="{2D4D2B1D-2173-47EE-9C51-C3FDDE7D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6BAD7-DB72-4EE1-AD5C-BEE076092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69</Pages>
  <Words>23549</Words>
  <Characters>134231</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174</cp:revision>
  <cp:lastPrinted>2016-07-11T06:41:00Z</cp:lastPrinted>
  <dcterms:created xsi:type="dcterms:W3CDTF">2016-10-13T07:14:00Z</dcterms:created>
  <dcterms:modified xsi:type="dcterms:W3CDTF">2017-03-30T12:53:00Z</dcterms:modified>
</cp:coreProperties>
</file>