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B33A6" w:rsidRPr="00A53631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3631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  <w:r w:rsidR="000B33A6" w:rsidRPr="00A53631">
        <w:rPr>
          <w:sz w:val="26"/>
          <w:szCs w:val="26"/>
        </w:rPr>
        <w:t xml:space="preserve"> </w:t>
      </w:r>
    </w:p>
    <w:p w:rsidR="000B33A6" w:rsidRPr="00A53631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3631">
        <w:rPr>
          <w:rFonts w:ascii="Times New Roman" w:hAnsi="Times New Roman" w:cs="Times New Roman"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26477" w:rsidRPr="00026477" w:rsidRDefault="000B33A6" w:rsidP="000264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3631">
        <w:rPr>
          <w:rFonts w:ascii="Times New Roman" w:hAnsi="Times New Roman" w:cs="Times New Roman"/>
          <w:sz w:val="24"/>
          <w:szCs w:val="24"/>
        </w:rPr>
        <w:t>при подключении к сис</w:t>
      </w:r>
      <w:r w:rsidR="00A26D46" w:rsidRPr="00A53631">
        <w:rPr>
          <w:rFonts w:ascii="Times New Roman" w:hAnsi="Times New Roman" w:cs="Times New Roman"/>
          <w:sz w:val="24"/>
          <w:szCs w:val="24"/>
        </w:rPr>
        <w:t xml:space="preserve">темам теплоснабжения ПАО «МОЭК» </w:t>
      </w:r>
      <w:r w:rsidR="00026477" w:rsidRPr="00026477">
        <w:rPr>
          <w:rFonts w:ascii="Times New Roman" w:hAnsi="Times New Roman" w:cs="Times New Roman"/>
          <w:sz w:val="24"/>
          <w:szCs w:val="24"/>
        </w:rPr>
        <w:t xml:space="preserve">объекта капитального строительства «Подземные автостоянки», расположенного по адресу: </w:t>
      </w:r>
    </w:p>
    <w:p w:rsidR="000B33A6" w:rsidRPr="00A53631" w:rsidRDefault="00026477" w:rsidP="000264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26477">
        <w:rPr>
          <w:rFonts w:ascii="Times New Roman" w:hAnsi="Times New Roman" w:cs="Times New Roman"/>
          <w:sz w:val="24"/>
          <w:szCs w:val="24"/>
        </w:rPr>
        <w:t>г. Москва, Щелковское шоссе, вл. 26, корп. 1А, 8В.</w:t>
      </w:r>
    </w:p>
    <w:p w:rsidR="00BE3B71" w:rsidRPr="00F749DC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F749DC" w:rsidTr="00402DCB">
        <w:trPr>
          <w:trHeight w:val="613"/>
        </w:trPr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F749D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F749D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F749D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F749DC" w:rsidRDefault="00026477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г. Москва, Щелковское шоссе, вл. 26, корп. 1А, 8В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F749DC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F749D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F749DC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026477" w:rsidRPr="00026477">
              <w:rPr>
                <w:rFonts w:ascii="Times New Roman" w:hAnsi="Times New Roman" w:cs="Times New Roman"/>
                <w:sz w:val="24"/>
                <w:szCs w:val="24"/>
              </w:rPr>
              <w:t xml:space="preserve">20.04.2016 г. № 10-11/16-424 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749D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749D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F749DC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026477" w:rsidRPr="00026477" w:rsidRDefault="00026477" w:rsidP="00026477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Байпас (с учётом </w:t>
            </w:r>
            <w:proofErr w:type="spellStart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опусков</w:t>
            </w:r>
            <w:proofErr w:type="spellEnd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 xml:space="preserve"> и подъёмов)</w:t>
            </w:r>
          </w:p>
          <w:p w:rsidR="00026477" w:rsidRPr="00026477" w:rsidRDefault="00026477" w:rsidP="00026477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 xml:space="preserve"> От 2Ду 55/110; ГВС</w:t>
            </w:r>
            <w:proofErr w:type="gramStart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 xml:space="preserve"> 2Ду50/90; на низких опорах, </w:t>
            </w:r>
            <w:proofErr w:type="spellStart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</w:p>
          <w:p w:rsidR="00026477" w:rsidRPr="00026477" w:rsidRDefault="00026477" w:rsidP="00026477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гр. В ст.20 ГОСТ 1050-88) в </w:t>
            </w:r>
            <w:proofErr w:type="spellStart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gramStart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атной</w:t>
            </w:r>
            <w:proofErr w:type="spellEnd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изол</w:t>
            </w:r>
            <w:proofErr w:type="spellEnd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20,0п.м.</w:t>
            </w: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26477" w:rsidRPr="00026477" w:rsidRDefault="00026477" w:rsidP="00026477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  <w:t>Камера байпаса 4,2х</w:t>
            </w:r>
            <w:proofErr w:type="gramStart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,2х2,0(h) с устройством узла</w:t>
            </w:r>
          </w:p>
          <w:p w:rsidR="00026477" w:rsidRPr="00026477" w:rsidRDefault="00026477" w:rsidP="00026477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на Ду40/Ду40 (</w:t>
            </w:r>
            <w:proofErr w:type="spellStart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) – 4 шт.</w:t>
            </w: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  <w:t>2шт.</w:t>
            </w: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26477" w:rsidRPr="00026477" w:rsidRDefault="00026477" w:rsidP="00026477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  <w:t>Надземный узел управления на байпасе</w:t>
            </w:r>
          </w:p>
          <w:p w:rsidR="00026477" w:rsidRPr="00026477" w:rsidRDefault="00026477" w:rsidP="00026477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ШК: Ду40 – 4 шт.</w:t>
            </w: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  <w:t>1шт.</w:t>
            </w: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26477" w:rsidRPr="00026477" w:rsidRDefault="00026477" w:rsidP="00026477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сеть:</w:t>
            </w: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26477" w:rsidRPr="00026477" w:rsidRDefault="00026477" w:rsidP="00026477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  <w:t>От 2Ду32; ГВС1 2Ду40/75; «</w:t>
            </w:r>
            <w:proofErr w:type="spellStart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Изопрофлекс</w:t>
            </w:r>
            <w:proofErr w:type="spellEnd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-А» в том числе:</w:t>
            </w: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  <w:t>30,0п</w:t>
            </w:r>
            <w:proofErr w:type="gramStart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26477" w:rsidRPr="00026477" w:rsidRDefault="00026477" w:rsidP="00026477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в непроходном </w:t>
            </w:r>
            <w:proofErr w:type="spellStart"/>
            <w:proofErr w:type="gramStart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 xml:space="preserve">. канале </w:t>
            </w:r>
          </w:p>
          <w:p w:rsidR="00026477" w:rsidRPr="00026477" w:rsidRDefault="00026477" w:rsidP="00026477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  <w:t>15,0п.м.</w:t>
            </w: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26477" w:rsidRPr="00026477" w:rsidRDefault="00026477" w:rsidP="00026477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</w:t>
            </w:r>
            <w:proofErr w:type="spellStart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gramStart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</w:t>
            </w:r>
          </w:p>
          <w:p w:rsidR="00026477" w:rsidRPr="00026477" w:rsidRDefault="00026477" w:rsidP="00026477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  <w:t>15,0п.м.</w:t>
            </w: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26477" w:rsidRPr="00026477" w:rsidRDefault="00026477" w:rsidP="00026477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  <w:t>Устройство камеры тепловой сети 4,2х</w:t>
            </w:r>
            <w:proofErr w:type="gramStart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 xml:space="preserve">,6х2,0(h) </w:t>
            </w:r>
          </w:p>
          <w:p w:rsidR="00026477" w:rsidRPr="00026477" w:rsidRDefault="00026477" w:rsidP="00026477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(технология – 100 %, стройка – 100 %) с устройством узлов:</w:t>
            </w:r>
          </w:p>
          <w:p w:rsidR="00026477" w:rsidRPr="00026477" w:rsidRDefault="00026477" w:rsidP="00026477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Start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 xml:space="preserve"> Ду32 – 4шт.</w:t>
            </w:r>
          </w:p>
          <w:p w:rsidR="00026477" w:rsidRPr="00026477" w:rsidRDefault="00026477" w:rsidP="00026477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 xml:space="preserve">на Ду32 / </w:t>
            </w:r>
            <w:proofErr w:type="spellStart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  <w:p w:rsidR="00EE217A" w:rsidRPr="00026477" w:rsidRDefault="00026477" w:rsidP="00026477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Start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 xml:space="preserve"> 15 (</w:t>
            </w:r>
            <w:proofErr w:type="spellStart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026477">
              <w:rPr>
                <w:rFonts w:ascii="Times New Roman" w:hAnsi="Times New Roman" w:cs="Times New Roman"/>
                <w:sz w:val="24"/>
                <w:szCs w:val="24"/>
              </w:rPr>
              <w:t>) – 4 шт.</w:t>
            </w: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  <w:t>1шт.</w:t>
            </w:r>
            <w:r w:rsidRPr="0002647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F749DC" w:rsidTr="00402DCB">
        <w:tc>
          <w:tcPr>
            <w:tcW w:w="568" w:type="dxa"/>
            <w:vAlign w:val="center"/>
          </w:tcPr>
          <w:p w:rsidR="00330E79" w:rsidRPr="00F749DC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F749DC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749DC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749DC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</w:t>
            </w:r>
            <w:r w:rsidR="000B33A6"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749D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749DC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F749DC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749DC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749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749DC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749DC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F749D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F749D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749DC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F749D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749D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схемы размещения геодезических знаков;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F749DC" w:rsidTr="000512AE">
        <w:trPr>
          <w:trHeight w:val="2018"/>
        </w:trPr>
        <w:tc>
          <w:tcPr>
            <w:tcW w:w="568" w:type="dxa"/>
          </w:tcPr>
          <w:p w:rsidR="000512AE" w:rsidRPr="00F749D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749DC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F749DC" w:rsidTr="002954E6">
        <w:tc>
          <w:tcPr>
            <w:tcW w:w="568" w:type="dxa"/>
          </w:tcPr>
          <w:p w:rsidR="00EE0DB3" w:rsidRPr="00F749D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F749DC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749DC" w:rsidRDefault="00EE0DB3" w:rsidP="00560195">
            <w:pPr>
              <w:tabs>
                <w:tab w:val="left" w:pos="1346"/>
              </w:tabs>
              <w:jc w:val="both"/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749DC">
              <w:t xml:space="preserve">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исполнения Подрядчиком обязательств по настоящему Договору.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B24B5" w:rsidRPr="00F749DC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749D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749D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F749DC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749DC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749DC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749DC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F749DC" w:rsidTr="00560195">
        <w:trPr>
          <w:trHeight w:val="1078"/>
        </w:trPr>
        <w:tc>
          <w:tcPr>
            <w:tcW w:w="568" w:type="dxa"/>
            <w:vAlign w:val="center"/>
          </w:tcPr>
          <w:p w:rsidR="00560195" w:rsidRPr="00F749DC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F749DC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749DC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F749DC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F749DC" w:rsidTr="00402DCB">
        <w:tc>
          <w:tcPr>
            <w:tcW w:w="568" w:type="dxa"/>
            <w:vAlign w:val="center"/>
          </w:tcPr>
          <w:p w:rsidR="00330E79" w:rsidRPr="00F749DC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F749DC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749DC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749D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749DC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F749DC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D38BC"/>
    <w:multiLevelType w:val="hybridMultilevel"/>
    <w:tmpl w:val="F460B30C"/>
    <w:lvl w:ilvl="0" w:tplc="8D9C42C6">
      <w:start w:val="1"/>
      <w:numFmt w:val="decimal"/>
      <w:lvlText w:val="%1."/>
      <w:lvlJc w:val="left"/>
      <w:pPr>
        <w:ind w:left="144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5C3F8B"/>
    <w:multiLevelType w:val="hybridMultilevel"/>
    <w:tmpl w:val="5E460900"/>
    <w:lvl w:ilvl="0" w:tplc="9ADC63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26477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073D4"/>
    <w:rsid w:val="0031095C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82911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26D46"/>
    <w:rsid w:val="00A44235"/>
    <w:rsid w:val="00A53631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2155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749DC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1335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Лазарева Юлия Вячеславовна</cp:lastModifiedBy>
  <cp:revision>5</cp:revision>
  <cp:lastPrinted>2017-03-17T08:48:00Z</cp:lastPrinted>
  <dcterms:created xsi:type="dcterms:W3CDTF">2017-03-17T08:47:00Z</dcterms:created>
  <dcterms:modified xsi:type="dcterms:W3CDTF">2017-03-29T10:34:00Z</dcterms:modified>
</cp:coreProperties>
</file>