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6374C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4C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6374CB">
        <w:rPr>
          <w:sz w:val="24"/>
          <w:szCs w:val="24"/>
        </w:rPr>
        <w:t xml:space="preserve"> </w:t>
      </w:r>
    </w:p>
    <w:p w:rsidR="000B33A6" w:rsidRPr="006374C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4C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6374C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4CB">
        <w:rPr>
          <w:rFonts w:ascii="Times New Roman" w:hAnsi="Times New Roman" w:cs="Times New Roman"/>
          <w:b/>
          <w:sz w:val="24"/>
          <w:szCs w:val="24"/>
        </w:rPr>
        <w:t>при подключении к системам теплоснабжения ПАО «МОЭК»</w:t>
      </w:r>
      <w:r w:rsidR="00F52618" w:rsidRPr="006374CB">
        <w:rPr>
          <w:rFonts w:ascii="Times New Roman" w:hAnsi="Times New Roman" w:cs="Times New Roman"/>
          <w:b/>
          <w:sz w:val="24"/>
          <w:szCs w:val="24"/>
        </w:rPr>
        <w:t xml:space="preserve"> объекта</w:t>
      </w:r>
      <w:r w:rsidRPr="006374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618" w:rsidRPr="006374CB">
        <w:rPr>
          <w:rFonts w:ascii="Times New Roman" w:hAnsi="Times New Roman"/>
          <w:b/>
          <w:sz w:val="24"/>
          <w:szCs w:val="24"/>
        </w:rPr>
        <w:t xml:space="preserve">капитального строительства «Досуговый центр», расположенного по адресу: г. Москва, </w:t>
      </w:r>
      <w:proofErr w:type="spellStart"/>
      <w:r w:rsidR="00F52618" w:rsidRPr="006374CB">
        <w:rPr>
          <w:rFonts w:ascii="Times New Roman" w:hAnsi="Times New Roman"/>
          <w:b/>
          <w:sz w:val="24"/>
          <w:szCs w:val="24"/>
        </w:rPr>
        <w:t>Боровское</w:t>
      </w:r>
      <w:proofErr w:type="spellEnd"/>
      <w:r w:rsidR="00F52618" w:rsidRPr="006374CB">
        <w:rPr>
          <w:rFonts w:ascii="Times New Roman" w:hAnsi="Times New Roman"/>
          <w:b/>
          <w:sz w:val="24"/>
          <w:szCs w:val="24"/>
        </w:rPr>
        <w:t xml:space="preserve"> ш., </w:t>
      </w:r>
      <w:proofErr w:type="spellStart"/>
      <w:r w:rsidR="00F52618" w:rsidRPr="006374CB">
        <w:rPr>
          <w:rFonts w:ascii="Times New Roman" w:hAnsi="Times New Roman"/>
          <w:b/>
          <w:sz w:val="24"/>
          <w:szCs w:val="24"/>
        </w:rPr>
        <w:t>мкр</w:t>
      </w:r>
      <w:proofErr w:type="spellEnd"/>
      <w:r w:rsidR="00F52618" w:rsidRPr="006374CB">
        <w:rPr>
          <w:rFonts w:ascii="Times New Roman" w:hAnsi="Times New Roman"/>
          <w:b/>
          <w:sz w:val="24"/>
          <w:szCs w:val="24"/>
        </w:rPr>
        <w:t>. 11А, корп. 225.</w:t>
      </w:r>
    </w:p>
    <w:p w:rsidR="00BE3B71" w:rsidRPr="006374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6374CB" w:rsidTr="00402DCB">
        <w:trPr>
          <w:trHeight w:val="613"/>
        </w:trPr>
        <w:tc>
          <w:tcPr>
            <w:tcW w:w="568" w:type="dxa"/>
            <w:vAlign w:val="center"/>
          </w:tcPr>
          <w:p w:rsidR="007B24B5" w:rsidRPr="006374C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6374C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6374CB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6374CB" w:rsidTr="00402DCB">
        <w:tc>
          <w:tcPr>
            <w:tcW w:w="568" w:type="dxa"/>
            <w:vAlign w:val="center"/>
          </w:tcPr>
          <w:p w:rsidR="007B24B5" w:rsidRPr="006374C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6374C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6374CB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637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6374CB" w:rsidTr="00402DCB">
        <w:tc>
          <w:tcPr>
            <w:tcW w:w="568" w:type="dxa"/>
            <w:vAlign w:val="center"/>
          </w:tcPr>
          <w:p w:rsidR="007B24B5" w:rsidRPr="006374C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6374C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6374CB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637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6374CB" w:rsidTr="00402DCB">
        <w:tc>
          <w:tcPr>
            <w:tcW w:w="568" w:type="dxa"/>
            <w:vAlign w:val="center"/>
          </w:tcPr>
          <w:p w:rsidR="007B24B5" w:rsidRPr="006374C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6374C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6374CB" w:rsidRDefault="009F3144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Боровское</w:t>
            </w:r>
            <w:proofErr w:type="spell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ш., </w:t>
            </w:r>
            <w:proofErr w:type="spell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. 11А, корп. 225</w:t>
            </w:r>
          </w:p>
        </w:tc>
      </w:tr>
      <w:tr w:rsidR="007B24B5" w:rsidRPr="006374CB" w:rsidTr="00402DCB">
        <w:tc>
          <w:tcPr>
            <w:tcW w:w="568" w:type="dxa"/>
            <w:vAlign w:val="center"/>
          </w:tcPr>
          <w:p w:rsidR="007B24B5" w:rsidRPr="006374C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6374C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6374CB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6374CB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637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6374CB" w:rsidTr="00402DCB">
        <w:tc>
          <w:tcPr>
            <w:tcW w:w="568" w:type="dxa"/>
            <w:vAlign w:val="center"/>
          </w:tcPr>
          <w:p w:rsidR="007B24B5" w:rsidRPr="006374C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6374C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6374CB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9F3144" w:rsidRPr="006374CB">
              <w:rPr>
                <w:rFonts w:ascii="Times New Roman" w:hAnsi="Times New Roman"/>
              </w:rPr>
              <w:t>24.10.2016 г. № 10-11/16-1215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6374CB" w:rsidTr="00402DCB">
        <w:tc>
          <w:tcPr>
            <w:tcW w:w="568" w:type="dxa"/>
            <w:vAlign w:val="center"/>
          </w:tcPr>
          <w:p w:rsidR="007B24B5" w:rsidRPr="006374C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6374C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6374C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6374C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6374C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6374C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6374CB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6374C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6374CB" w:rsidTr="00402DCB">
        <w:tc>
          <w:tcPr>
            <w:tcW w:w="568" w:type="dxa"/>
            <w:vAlign w:val="center"/>
          </w:tcPr>
          <w:p w:rsidR="007B24B5" w:rsidRPr="006374C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6374C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6374CB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</w:t>
            </w:r>
            <w:r w:rsidR="009F3144" w:rsidRPr="006374CB">
              <w:rPr>
                <w:rFonts w:ascii="Times New Roman" w:hAnsi="Times New Roman" w:cs="Times New Roman"/>
                <w:bCs/>
                <w:sz w:val="24"/>
                <w:szCs w:val="26"/>
              </w:rPr>
              <w:t>2Ду 50</w:t>
            </w:r>
            <w:r w:rsidR="00B40C62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="009F3144" w:rsidRPr="006374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40C62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6374C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6374CB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Pr="006374CB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канале </w:t>
            </w:r>
            <w:r w:rsidR="002304E4" w:rsidRPr="006374C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144" w:rsidRPr="006374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 w:rsidRPr="006374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6374CB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6374CB">
              <w:rPr>
                <w:rFonts w:ascii="Times New Roman" w:hAnsi="Times New Roman"/>
              </w:rPr>
              <w:t xml:space="preserve">- 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бесканальная прокладка</w:t>
            </w:r>
            <w:r w:rsidRPr="006374CB">
              <w:rPr>
                <w:rFonts w:ascii="Times New Roman" w:hAnsi="Times New Roman"/>
              </w:rPr>
              <w:t xml:space="preserve"> – </w:t>
            </w:r>
            <w:r w:rsidR="009F3144" w:rsidRPr="006374CB">
              <w:rPr>
                <w:rFonts w:ascii="Times New Roman" w:hAnsi="Times New Roman"/>
              </w:rPr>
              <w:t>5</w:t>
            </w:r>
            <w:r w:rsidRPr="006374CB">
              <w:rPr>
                <w:rFonts w:ascii="Times New Roman" w:hAnsi="Times New Roman"/>
              </w:rPr>
              <w:t xml:space="preserve"> </w:t>
            </w:r>
            <w:proofErr w:type="spellStart"/>
            <w:r w:rsidR="009F3144" w:rsidRPr="006374CB">
              <w:rPr>
                <w:rFonts w:ascii="Times New Roman" w:hAnsi="Times New Roman"/>
              </w:rPr>
              <w:t>п.</w:t>
            </w:r>
            <w:proofErr w:type="gramStart"/>
            <w:r w:rsidRPr="006374CB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6374CB">
              <w:rPr>
                <w:rFonts w:ascii="Times New Roman" w:hAnsi="Times New Roman"/>
              </w:rPr>
              <w:t>.</w:t>
            </w:r>
          </w:p>
          <w:p w:rsidR="009F3144" w:rsidRPr="006374CB" w:rsidRDefault="009F314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6374CB">
              <w:rPr>
                <w:rFonts w:ascii="Times New Roman" w:hAnsi="Times New Roman"/>
              </w:rPr>
              <w:t>-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Тепловая камера (новая) </w:t>
            </w:r>
            <w:r w:rsidRPr="006374CB">
              <w:rPr>
                <w:rFonts w:ascii="Times New Roman" w:hAnsi="Times New Roman" w:cs="Times New Roman"/>
                <w:bCs/>
                <w:sz w:val="24"/>
                <w:szCs w:val="24"/>
              </w:rPr>
              <w:t>5,2х</w:t>
            </w:r>
            <w:proofErr w:type="gramStart"/>
            <w:r w:rsidRPr="006374C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  <w:r w:rsidRPr="006374CB">
              <w:rPr>
                <w:rFonts w:ascii="Times New Roman" w:hAnsi="Times New Roman" w:cs="Times New Roman"/>
                <w:bCs/>
                <w:sz w:val="24"/>
                <w:szCs w:val="24"/>
              </w:rPr>
              <w:t>,6х2,5(h)м – 1 шт.</w:t>
            </w:r>
          </w:p>
          <w:p w:rsidR="00EE217A" w:rsidRPr="006374CB" w:rsidRDefault="001616ED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575" w:rsidRPr="00637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6374CB">
              <w:t xml:space="preserve"> </w:t>
            </w:r>
            <w:r w:rsidR="009F3144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Байпас </w:t>
            </w:r>
            <w:r w:rsidR="009F3144" w:rsidRPr="006374CB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2Ду 400 на низких опорах </w:t>
            </w:r>
            <w:r w:rsidR="00CD096E" w:rsidRPr="006374CB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– 14 </w:t>
            </w:r>
            <w:proofErr w:type="spellStart"/>
            <w:r w:rsidR="00CD096E" w:rsidRPr="006374CB">
              <w:rPr>
                <w:rFonts w:ascii="Times New Roman" w:hAnsi="Times New Roman" w:cs="Times New Roman"/>
                <w:bCs/>
                <w:sz w:val="24"/>
                <w:szCs w:val="26"/>
              </w:rPr>
              <w:t>п.</w:t>
            </w:r>
            <w:proofErr w:type="gramStart"/>
            <w:r w:rsidR="00CD096E" w:rsidRPr="006374CB">
              <w:rPr>
                <w:rFonts w:ascii="Times New Roman" w:hAnsi="Times New Roman" w:cs="Times New Roman"/>
                <w:bCs/>
                <w:sz w:val="24"/>
                <w:szCs w:val="26"/>
              </w:rPr>
              <w:t>м</w:t>
            </w:r>
            <w:proofErr w:type="spellEnd"/>
            <w:proofErr w:type="gramEnd"/>
            <w:r w:rsidR="00CD096E" w:rsidRPr="006374CB">
              <w:rPr>
                <w:rFonts w:ascii="Times New Roman" w:hAnsi="Times New Roman" w:cs="Times New Roman"/>
                <w:bCs/>
                <w:sz w:val="24"/>
                <w:szCs w:val="26"/>
              </w:rPr>
              <w:t>.</w:t>
            </w:r>
          </w:p>
        </w:tc>
      </w:tr>
      <w:tr w:rsidR="00330E79" w:rsidRPr="006374CB" w:rsidTr="00402DCB">
        <w:tc>
          <w:tcPr>
            <w:tcW w:w="568" w:type="dxa"/>
            <w:vAlign w:val="center"/>
          </w:tcPr>
          <w:p w:rsidR="00330E79" w:rsidRPr="006374C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6374C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6374C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6374C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6374C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6374C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6374C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6374C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6374C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6374C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6374C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6374C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6374C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6374C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6374C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6374C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6374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6374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6374C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6374C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6374C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6374C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6374C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6374C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6374C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6374C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6374C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6374C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6374C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6374C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6374C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6374CB" w:rsidTr="000512AE">
        <w:trPr>
          <w:trHeight w:val="2018"/>
        </w:trPr>
        <w:tc>
          <w:tcPr>
            <w:tcW w:w="568" w:type="dxa"/>
          </w:tcPr>
          <w:p w:rsidR="000512AE" w:rsidRPr="006374C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6374C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6374C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6374CB" w:rsidTr="002954E6">
        <w:tc>
          <w:tcPr>
            <w:tcW w:w="568" w:type="dxa"/>
          </w:tcPr>
          <w:p w:rsidR="00EE0DB3" w:rsidRPr="006374C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6374C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6374CB" w:rsidRDefault="00EE0DB3" w:rsidP="00560195">
            <w:pPr>
              <w:tabs>
                <w:tab w:val="left" w:pos="1346"/>
              </w:tabs>
              <w:jc w:val="both"/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6374CB">
              <w:t xml:space="preserve"> 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6374CB" w:rsidTr="00402DCB">
        <w:tc>
          <w:tcPr>
            <w:tcW w:w="568" w:type="dxa"/>
            <w:vAlign w:val="center"/>
          </w:tcPr>
          <w:p w:rsidR="007B24B5" w:rsidRPr="006374C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6374C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6374C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6374C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6374C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6374C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6374C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6374C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637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6374C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6374C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6374C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6374C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6374C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6374C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6374C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6374C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6374C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6374C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6374C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6374CB" w:rsidTr="00402DCB">
        <w:tc>
          <w:tcPr>
            <w:tcW w:w="568" w:type="dxa"/>
            <w:vAlign w:val="center"/>
          </w:tcPr>
          <w:p w:rsidR="00330E79" w:rsidRPr="006374C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6374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6374C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6374C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6374C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6374C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6374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63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6374C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6374C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6374CB" w:rsidTr="00B36C10">
        <w:tc>
          <w:tcPr>
            <w:tcW w:w="4503" w:type="dxa"/>
          </w:tcPr>
          <w:p w:rsidR="006E78B1" w:rsidRPr="006374C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6374C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6374C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6374CB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374CB"/>
    <w:rsid w:val="00661BE6"/>
    <w:rsid w:val="00662F35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9670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3144"/>
    <w:rsid w:val="009F7C92"/>
    <w:rsid w:val="00A00CDC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CD096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2618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8</cp:revision>
  <cp:lastPrinted>2016-09-27T12:13:00Z</cp:lastPrinted>
  <dcterms:created xsi:type="dcterms:W3CDTF">2017-03-14T09:39:00Z</dcterms:created>
  <dcterms:modified xsi:type="dcterms:W3CDTF">2017-03-28T12:17:00Z</dcterms:modified>
</cp:coreProperties>
</file>