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F71693" w:rsidP="00F7169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71693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           ПАО «МОЭК» объекта капитального строительства – «Реконструкция Торгового дома «Родник»», расположенного по адресу: г. Москва, Осенний бульвар, д.12, корп.6.</w:t>
      </w:r>
    </w:p>
    <w:p w:rsidR="00072125" w:rsidRDefault="00F71693" w:rsidP="00F7169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71693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– многофункционального жилого комплекса, расположенного по адресу: г. Москва, ул. </w:t>
      </w:r>
      <w:proofErr w:type="spellStart"/>
      <w:r w:rsidRPr="00F71693">
        <w:rPr>
          <w:rFonts w:ascii="Times New Roman" w:hAnsi="Times New Roman"/>
          <w:sz w:val="24"/>
          <w:szCs w:val="24"/>
        </w:rPr>
        <w:t>Кастанаевская</w:t>
      </w:r>
      <w:proofErr w:type="spellEnd"/>
      <w:r w:rsidRPr="00F71693">
        <w:rPr>
          <w:rFonts w:ascii="Times New Roman" w:hAnsi="Times New Roman"/>
          <w:sz w:val="24"/>
          <w:szCs w:val="24"/>
        </w:rPr>
        <w:t>, вл. 68.</w:t>
      </w:r>
    </w:p>
    <w:p w:rsidR="00F71693" w:rsidRDefault="00F71693" w:rsidP="00F7169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71693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«Досуговый центр», расположенного по адресу: г. Москва, </w:t>
      </w:r>
      <w:proofErr w:type="spellStart"/>
      <w:r w:rsidRPr="00F71693">
        <w:rPr>
          <w:rFonts w:ascii="Times New Roman" w:hAnsi="Times New Roman"/>
          <w:sz w:val="24"/>
          <w:szCs w:val="24"/>
        </w:rPr>
        <w:t>Боровское</w:t>
      </w:r>
      <w:proofErr w:type="spellEnd"/>
      <w:r w:rsidRPr="00F71693">
        <w:rPr>
          <w:rFonts w:ascii="Times New Roman" w:hAnsi="Times New Roman"/>
          <w:sz w:val="24"/>
          <w:szCs w:val="24"/>
        </w:rPr>
        <w:t xml:space="preserve"> ш., </w:t>
      </w:r>
      <w:proofErr w:type="spellStart"/>
      <w:r w:rsidRPr="00F71693">
        <w:rPr>
          <w:rFonts w:ascii="Times New Roman" w:hAnsi="Times New Roman"/>
          <w:sz w:val="24"/>
          <w:szCs w:val="24"/>
        </w:rPr>
        <w:t>мкр</w:t>
      </w:r>
      <w:proofErr w:type="spellEnd"/>
      <w:r w:rsidRPr="00F71693">
        <w:rPr>
          <w:rFonts w:ascii="Times New Roman" w:hAnsi="Times New Roman"/>
          <w:sz w:val="24"/>
          <w:szCs w:val="24"/>
        </w:rPr>
        <w:t>. 11А, корп. 225.</w:t>
      </w:r>
    </w:p>
    <w:p w:rsidR="00F71693" w:rsidRDefault="00F71693" w:rsidP="00F7169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71693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«Западный участок Третьего пересадочного (ТПК) на участке от ст. «</w:t>
      </w:r>
      <w:proofErr w:type="spellStart"/>
      <w:r w:rsidRPr="00F71693">
        <w:rPr>
          <w:rFonts w:ascii="Times New Roman" w:hAnsi="Times New Roman"/>
          <w:sz w:val="24"/>
          <w:szCs w:val="24"/>
        </w:rPr>
        <w:t>Хорошевская</w:t>
      </w:r>
      <w:proofErr w:type="spellEnd"/>
      <w:r w:rsidRPr="00F71693">
        <w:rPr>
          <w:rFonts w:ascii="Times New Roman" w:hAnsi="Times New Roman"/>
          <w:sz w:val="24"/>
          <w:szCs w:val="24"/>
        </w:rPr>
        <w:t>» до ст. «Можайская». Станция «Можайская», вестибюль № 2», расположенного по адресу: г. Москва, Рублевское шоссе, вл. 12.</w:t>
      </w:r>
    </w:p>
    <w:p w:rsidR="00F71693" w:rsidRDefault="00F71693" w:rsidP="00F7169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71693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«Многофункциональный комплекс сервисного обслуживания», расположенного по адресу: г. Москва, ул. Красных Зорь, вл. 4.</w:t>
      </w:r>
    </w:p>
    <w:p w:rsidR="00F71693" w:rsidRPr="00CA101E" w:rsidRDefault="00F71693" w:rsidP="00F7169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71693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спортивного назначения, расположенного по адресу: г. Москва, ул. Крылатская, д. 2, корп. 4.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71693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EBC58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132</cp:revision>
  <dcterms:created xsi:type="dcterms:W3CDTF">2015-06-10T05:06:00Z</dcterms:created>
  <dcterms:modified xsi:type="dcterms:W3CDTF">2017-03-17T06:18:00Z</dcterms:modified>
</cp:coreProperties>
</file>