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r w:rsidRPr="00CF337F">
        <w:rPr>
          <w:szCs w:val="24"/>
        </w:rPr>
        <w:t>(рамочный)</w:t>
      </w:r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 xml:space="preserve">2.2.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средств с расчетного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AA575D" w:rsidRPr="00CF337F" w:rsidRDefault="00AA575D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2.10. </w:t>
      </w:r>
      <w:r w:rsidRPr="00B528CA">
        <w:rPr>
          <w:i/>
          <w:sz w:val="24"/>
          <w:szCs w:val="24"/>
        </w:rPr>
        <w:t>Если до истечения срока действия Договора в процессе производственно-хозяйственной деятельности Покупателя возникла потребность в дополнительном количестве Товара из ассортимента, зафиксированного в Спецификации, то поставка указанного дополнительного количества Товара оформляется дополнительным соглашением к настоящему Договору при условии сохранения твердой Цены за единицу Товара</w:t>
      </w:r>
      <w:r w:rsidRPr="00B528CA">
        <w:rPr>
          <w:sz w:val="24"/>
          <w:szCs w:val="24"/>
        </w:rPr>
        <w:t>.</w:t>
      </w:r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позднее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тел.____________или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r w:rsidR="005168AA" w:rsidRPr="00D2398B">
        <w:rPr>
          <w:sz w:val="24"/>
          <w:szCs w:val="24"/>
          <w:lang w:val="en-US"/>
        </w:rPr>
        <w:t>Vasilev</w:t>
      </w:r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r w:rsidR="00CF337F" w:rsidRPr="00D2398B">
        <w:rPr>
          <w:sz w:val="24"/>
          <w:szCs w:val="24"/>
          <w:lang w:val="en-US"/>
        </w:rPr>
        <w:t>moek</w:t>
      </w:r>
      <w:r w:rsidR="00CF337F" w:rsidRPr="00D2398B">
        <w:rPr>
          <w:sz w:val="24"/>
          <w:szCs w:val="24"/>
        </w:rPr>
        <w:t>.</w:t>
      </w:r>
      <w:r w:rsidR="00CF337F" w:rsidRPr="00D2398B">
        <w:rPr>
          <w:sz w:val="24"/>
          <w:szCs w:val="24"/>
          <w:lang w:val="en-US"/>
        </w:rPr>
        <w:t>ru</w:t>
      </w:r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 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с даты подписания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4.2.5. 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 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 возмещении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>. 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с даты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lastRenderedPageBreak/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обстоятельств Сторона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с даты таких изменений, с подтверждением соответствующими документами. Информация направляется </w:t>
      </w:r>
      <w:r w:rsidR="00D2398B" w:rsidRPr="00D2398B">
        <w:rPr>
          <w:sz w:val="24"/>
          <w:szCs w:val="24"/>
          <w:lang w:val="en-US"/>
        </w:rPr>
        <w:t>Vasilev</w:t>
      </w:r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r w:rsidR="00D2398B" w:rsidRPr="00D2398B">
        <w:rPr>
          <w:sz w:val="24"/>
          <w:szCs w:val="24"/>
          <w:lang w:val="en-US"/>
        </w:rPr>
        <w:t>moek</w:t>
      </w:r>
      <w:r w:rsidR="00D2398B" w:rsidRPr="00D2398B">
        <w:rPr>
          <w:sz w:val="24"/>
          <w:szCs w:val="24"/>
        </w:rPr>
        <w:t>.</w:t>
      </w:r>
      <w:r w:rsidR="00D2398B" w:rsidRPr="00D2398B">
        <w:rPr>
          <w:sz w:val="24"/>
          <w:szCs w:val="24"/>
          <w:lang w:val="en-US"/>
        </w:rPr>
        <w:t>ru</w:t>
      </w:r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«Заверения Сторон»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5077"/>
        <w:gridCol w:w="1291"/>
        <w:gridCol w:w="1174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lastRenderedPageBreak/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r w:rsidRPr="00484CAC">
        <w:rPr>
          <w:b/>
          <w:sz w:val="24"/>
          <w:szCs w:val="24"/>
        </w:rPr>
        <w:t>Заверения Сторон</w:t>
      </w: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bookmarkStart w:id="0" w:name="_GoBack"/>
      <w:bookmarkEnd w:id="0"/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8"/>
      <w:footerReference w:type="even" r:id="rId9"/>
      <w:footerReference w:type="default" r:id="rId10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75D">
          <w:rPr>
            <w:noProof/>
          </w:rPr>
          <w:t>11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 w15:restartNumberingAfterBreak="0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90227"/>
    <w:rsid w:val="003B796F"/>
    <w:rsid w:val="0047612B"/>
    <w:rsid w:val="00484CAC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7412"/>
  <w15:docId w15:val="{71FF68EB-D884-4E84-8B13-95C1FDFA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Заголовок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C93E7-FBA5-406F-8D7C-B36F779E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3829</Words>
  <Characters>21829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Гаврилюк Дмитрий Юрьевич</cp:lastModifiedBy>
  <cp:revision>2</cp:revision>
  <cp:lastPrinted>2016-04-04T07:18:00Z</cp:lastPrinted>
  <dcterms:created xsi:type="dcterms:W3CDTF">2016-11-24T13:21:00Z</dcterms:created>
  <dcterms:modified xsi:type="dcterms:W3CDTF">2016-11-24T13:21:00Z</dcterms:modified>
</cp:coreProperties>
</file>